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bookmarkStart w:id="0" w:name="_GoBack"/>
      <w:r>
        <w:rPr>
          <w:rFonts w:hint="eastAsia"/>
          <w:b/>
          <w:sz w:val="32"/>
        </w:rPr>
        <w:t>三江学院大学生创新创业活动置换课程实施办法（修订）</w:t>
      </w:r>
    </w:p>
    <w:bookmarkEnd w:id="0"/>
    <w:p>
      <w:pPr>
        <w:spacing w:line="360" w:lineRule="auto"/>
        <w:ind w:firstLine="480" w:firstLineChars="200"/>
        <w:rPr>
          <w:rFonts w:ascii="宋体" w:hAnsi="宋体"/>
          <w:sz w:val="24"/>
          <w:szCs w:val="21"/>
        </w:rPr>
      </w:pPr>
    </w:p>
    <w:p>
      <w:pPr>
        <w:spacing w:line="360" w:lineRule="auto"/>
        <w:ind w:firstLine="480" w:firstLineChars="200"/>
        <w:rPr>
          <w:rFonts w:ascii="宋体" w:hAnsi="宋体"/>
          <w:sz w:val="24"/>
          <w:szCs w:val="21"/>
        </w:rPr>
      </w:pPr>
      <w:r>
        <w:rPr>
          <w:rFonts w:hint="eastAsia" w:ascii="宋体" w:hAnsi="宋体"/>
          <w:sz w:val="24"/>
          <w:szCs w:val="21"/>
        </w:rPr>
        <w:t>为进一步加强大学生创新创业教育工作，更好地开展大学生创新创业行动计划，鼓励我校大学生积极参与各类创新创业活动，加强大学生的创新精神、创业意识与创新创业能力培养，特制定本办法。</w:t>
      </w:r>
    </w:p>
    <w:p>
      <w:pPr>
        <w:spacing w:line="360" w:lineRule="auto"/>
        <w:ind w:firstLine="482" w:firstLineChars="200"/>
        <w:rPr>
          <w:rFonts w:ascii="宋体" w:hAnsi="宋体"/>
          <w:b/>
          <w:sz w:val="24"/>
          <w:szCs w:val="21"/>
        </w:rPr>
      </w:pPr>
      <w:r>
        <w:rPr>
          <w:rFonts w:hint="eastAsia" w:ascii="宋体" w:hAnsi="宋体"/>
          <w:b/>
          <w:sz w:val="24"/>
          <w:szCs w:val="21"/>
        </w:rPr>
        <w:t>一、纳入置换课程范围的创新创业活动内容和成果</w:t>
      </w:r>
    </w:p>
    <w:p>
      <w:pPr>
        <w:spacing w:line="360" w:lineRule="auto"/>
        <w:ind w:firstLine="480" w:firstLineChars="200"/>
        <w:rPr>
          <w:rFonts w:ascii="宋体" w:hAnsi="宋体"/>
          <w:sz w:val="24"/>
          <w:szCs w:val="21"/>
        </w:rPr>
      </w:pPr>
      <w:r>
        <w:rPr>
          <w:rFonts w:hint="eastAsia" w:ascii="宋体" w:hAnsi="宋体"/>
          <w:sz w:val="24"/>
          <w:szCs w:val="21"/>
        </w:rPr>
        <w:t>1．各类创新训练项目、创业训练项目和创业实践项目。</w:t>
      </w:r>
    </w:p>
    <w:p>
      <w:pPr>
        <w:spacing w:line="360" w:lineRule="auto"/>
        <w:ind w:firstLine="480" w:firstLineChars="200"/>
        <w:rPr>
          <w:rFonts w:ascii="宋体" w:hAnsi="宋体"/>
          <w:sz w:val="24"/>
          <w:szCs w:val="21"/>
        </w:rPr>
      </w:pPr>
      <w:r>
        <w:rPr>
          <w:rFonts w:hint="eastAsia" w:ascii="宋体" w:hAnsi="宋体"/>
          <w:sz w:val="24"/>
          <w:szCs w:val="21"/>
        </w:rPr>
        <w:t>2．各类“挑战杯”竞赛、学科竞赛、创业项目竞赛。</w:t>
      </w:r>
    </w:p>
    <w:p>
      <w:pPr>
        <w:spacing w:line="360" w:lineRule="auto"/>
        <w:ind w:firstLine="480" w:firstLineChars="200"/>
        <w:rPr>
          <w:rFonts w:ascii="宋体" w:hAnsi="宋体"/>
          <w:sz w:val="24"/>
          <w:szCs w:val="21"/>
        </w:rPr>
      </w:pPr>
      <w:r>
        <w:rPr>
          <w:rFonts w:hint="eastAsia" w:ascii="宋体" w:hAnsi="宋体"/>
          <w:sz w:val="24"/>
          <w:szCs w:val="21"/>
        </w:rPr>
        <w:t>3．申请或获得发明专利、著作权、实用新型专利。</w:t>
      </w:r>
    </w:p>
    <w:p>
      <w:pPr>
        <w:spacing w:line="360" w:lineRule="auto"/>
        <w:ind w:firstLine="480" w:firstLineChars="200"/>
        <w:rPr>
          <w:rFonts w:ascii="宋体" w:hAnsi="宋体"/>
          <w:sz w:val="24"/>
          <w:szCs w:val="21"/>
        </w:rPr>
      </w:pPr>
      <w:r>
        <w:rPr>
          <w:rFonts w:hint="eastAsia" w:ascii="宋体" w:hAnsi="宋体"/>
          <w:sz w:val="24"/>
          <w:szCs w:val="21"/>
        </w:rPr>
        <w:t>4．在国内外高水平学术期刊上公开发表学术论文。</w:t>
      </w:r>
    </w:p>
    <w:p>
      <w:pPr>
        <w:spacing w:line="360" w:lineRule="auto"/>
        <w:ind w:firstLine="482" w:firstLineChars="200"/>
        <w:rPr>
          <w:rFonts w:ascii="宋体" w:hAnsi="宋体"/>
          <w:b/>
          <w:sz w:val="24"/>
          <w:szCs w:val="21"/>
        </w:rPr>
      </w:pPr>
      <w:r>
        <w:rPr>
          <w:rFonts w:hint="eastAsia" w:ascii="宋体" w:hAnsi="宋体"/>
          <w:b/>
          <w:sz w:val="24"/>
          <w:szCs w:val="21"/>
        </w:rPr>
        <w:t>二、创新创业活动置换课程的方法和标准</w:t>
      </w:r>
    </w:p>
    <w:p>
      <w:pPr>
        <w:spacing w:line="360" w:lineRule="auto"/>
        <w:ind w:firstLine="482" w:firstLineChars="200"/>
        <w:rPr>
          <w:rFonts w:ascii="宋体" w:hAnsi="宋体"/>
          <w:sz w:val="24"/>
          <w:szCs w:val="21"/>
        </w:rPr>
      </w:pPr>
      <w:r>
        <w:rPr>
          <w:rFonts w:hint="eastAsia" w:ascii="宋体" w:hAnsi="宋体"/>
          <w:b/>
          <w:sz w:val="24"/>
          <w:szCs w:val="21"/>
        </w:rPr>
        <w:t>1．课程缓考</w:t>
      </w:r>
      <w:r>
        <w:rPr>
          <w:rFonts w:hint="eastAsia" w:ascii="宋体" w:hAnsi="宋体"/>
          <w:sz w:val="24"/>
          <w:szCs w:val="21"/>
        </w:rPr>
        <w:t>：学生所参加的创新创业活动与课程考试时间冲突，可申请该门课程缓考。根据学生手册的有关要求，申请课程缓考将无法参加当年奖学金的评选。</w:t>
      </w:r>
    </w:p>
    <w:p>
      <w:pPr>
        <w:spacing w:line="360" w:lineRule="auto"/>
        <w:ind w:firstLine="482" w:firstLineChars="200"/>
        <w:rPr>
          <w:rFonts w:ascii="宋体" w:hAnsi="宋体"/>
          <w:sz w:val="24"/>
          <w:szCs w:val="21"/>
        </w:rPr>
      </w:pPr>
      <w:r>
        <w:rPr>
          <w:rFonts w:hint="eastAsia" w:ascii="宋体" w:hAnsi="宋体"/>
          <w:b/>
          <w:sz w:val="24"/>
          <w:szCs w:val="21"/>
        </w:rPr>
        <w:t>2．课程免听</w:t>
      </w:r>
      <w:r>
        <w:rPr>
          <w:rFonts w:hint="eastAsia" w:ascii="宋体" w:hAnsi="宋体"/>
          <w:sz w:val="24"/>
          <w:szCs w:val="21"/>
        </w:rPr>
        <w:t>：学生所参加的创新创业活动内容和成果与所学习课程内容相对应，可申请该门课程免听（不免考）。</w:t>
      </w:r>
    </w:p>
    <w:p>
      <w:pPr>
        <w:spacing w:line="360" w:lineRule="auto"/>
        <w:ind w:firstLine="482" w:firstLineChars="200"/>
        <w:rPr>
          <w:rFonts w:ascii="宋体" w:hAnsi="宋体"/>
          <w:sz w:val="24"/>
          <w:szCs w:val="21"/>
        </w:rPr>
      </w:pPr>
      <w:r>
        <w:rPr>
          <w:rFonts w:hint="eastAsia" w:ascii="宋体" w:hAnsi="宋体"/>
          <w:b/>
          <w:sz w:val="24"/>
          <w:szCs w:val="21"/>
        </w:rPr>
        <w:t>3．课程加分</w:t>
      </w:r>
      <w:r>
        <w:rPr>
          <w:rFonts w:hint="eastAsia" w:ascii="宋体" w:hAnsi="宋体"/>
          <w:sz w:val="24"/>
          <w:szCs w:val="21"/>
        </w:rPr>
        <w:t>：学生所参加的创新创业活动取得优异成绩或高水平成果，可申请相关课程成绩加分。</w:t>
      </w:r>
    </w:p>
    <w:p>
      <w:pPr>
        <w:spacing w:line="360" w:lineRule="auto"/>
        <w:ind w:firstLine="720" w:firstLineChars="300"/>
        <w:rPr>
          <w:rFonts w:ascii="宋体" w:hAnsi="宋体"/>
          <w:sz w:val="24"/>
          <w:szCs w:val="21"/>
        </w:rPr>
      </w:pPr>
      <w:r>
        <w:rPr>
          <w:rFonts w:hint="eastAsia" w:ascii="宋体" w:hAnsi="宋体"/>
          <w:sz w:val="24"/>
          <w:szCs w:val="21"/>
        </w:rPr>
        <w:t>(1) 参加竞赛取得优异成绩的学生，根据竞赛成绩，可申请与竞赛内容相对应的相关课程的总评成绩加分，但最高不能超过95分。具体加分标准如下：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3927"/>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jc w:val="center"/>
              <w:rPr>
                <w:rFonts w:ascii="宋体" w:hAnsi="宋体"/>
                <w:sz w:val="24"/>
                <w:szCs w:val="24"/>
              </w:rPr>
            </w:pPr>
            <w:r>
              <w:rPr>
                <w:rFonts w:hint="eastAsia" w:ascii="宋体" w:hAnsi="宋体"/>
                <w:sz w:val="24"/>
                <w:szCs w:val="24"/>
              </w:rPr>
              <w:t>获奖类别</w:t>
            </w:r>
          </w:p>
        </w:tc>
        <w:tc>
          <w:tcPr>
            <w:tcW w:w="3927" w:type="dxa"/>
            <w:vAlign w:val="center"/>
          </w:tcPr>
          <w:p>
            <w:pPr>
              <w:jc w:val="center"/>
              <w:rPr>
                <w:rFonts w:ascii="宋体" w:hAnsi="宋体"/>
                <w:sz w:val="24"/>
                <w:szCs w:val="24"/>
              </w:rPr>
            </w:pPr>
            <w:r>
              <w:rPr>
                <w:rFonts w:hint="eastAsia" w:ascii="宋体" w:hAnsi="宋体"/>
                <w:sz w:val="24"/>
                <w:szCs w:val="24"/>
              </w:rPr>
              <w:t>获奖等级</w:t>
            </w:r>
          </w:p>
        </w:tc>
        <w:tc>
          <w:tcPr>
            <w:tcW w:w="2257" w:type="dxa"/>
            <w:vAlign w:val="center"/>
          </w:tcPr>
          <w:p>
            <w:pPr>
              <w:jc w:val="center"/>
              <w:rPr>
                <w:rFonts w:ascii="宋体" w:hAnsi="宋体"/>
                <w:sz w:val="24"/>
                <w:szCs w:val="24"/>
              </w:rPr>
            </w:pPr>
            <w:r>
              <w:rPr>
                <w:rFonts w:hint="eastAsia" w:ascii="宋体" w:hAnsi="宋体"/>
                <w:sz w:val="24"/>
                <w:szCs w:val="24"/>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Merge w:val="restart"/>
            <w:vAlign w:val="center"/>
          </w:tcPr>
          <w:p>
            <w:pPr>
              <w:jc w:val="center"/>
              <w:rPr>
                <w:rFonts w:ascii="宋体" w:hAnsi="宋体"/>
                <w:sz w:val="24"/>
                <w:szCs w:val="24"/>
              </w:rPr>
            </w:pPr>
            <w:r>
              <w:rPr>
                <w:rFonts w:hint="eastAsia" w:ascii="宋体" w:hAnsi="宋体"/>
                <w:sz w:val="24"/>
                <w:szCs w:val="24"/>
              </w:rPr>
              <w:t>国家级学科竞赛</w:t>
            </w:r>
          </w:p>
        </w:tc>
        <w:tc>
          <w:tcPr>
            <w:tcW w:w="3927" w:type="dxa"/>
            <w:vAlign w:val="center"/>
          </w:tcPr>
          <w:p>
            <w:pPr>
              <w:jc w:val="center"/>
              <w:rPr>
                <w:rFonts w:ascii="宋体" w:hAnsi="宋体"/>
                <w:sz w:val="24"/>
                <w:szCs w:val="24"/>
              </w:rPr>
            </w:pPr>
            <w:r>
              <w:rPr>
                <w:rFonts w:hint="eastAsia" w:ascii="宋体" w:hAnsi="宋体"/>
                <w:sz w:val="24"/>
                <w:szCs w:val="24"/>
              </w:rPr>
              <w:t>A类特等奖、A类一等奖</w:t>
            </w:r>
          </w:p>
        </w:tc>
        <w:tc>
          <w:tcPr>
            <w:tcW w:w="2257" w:type="dxa"/>
            <w:vAlign w:val="center"/>
          </w:tcPr>
          <w:p>
            <w:pPr>
              <w:jc w:val="center"/>
              <w:rPr>
                <w:rFonts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Merge w:val="continue"/>
            <w:vAlign w:val="center"/>
          </w:tcPr>
          <w:p>
            <w:pPr>
              <w:jc w:val="center"/>
              <w:rPr>
                <w:rFonts w:ascii="宋体" w:hAnsi="宋体"/>
                <w:sz w:val="24"/>
                <w:szCs w:val="24"/>
              </w:rPr>
            </w:pPr>
          </w:p>
        </w:tc>
        <w:tc>
          <w:tcPr>
            <w:tcW w:w="3927" w:type="dxa"/>
            <w:vAlign w:val="center"/>
          </w:tcPr>
          <w:p>
            <w:pPr>
              <w:jc w:val="center"/>
              <w:rPr>
                <w:rFonts w:ascii="宋体" w:hAnsi="宋体"/>
                <w:sz w:val="24"/>
                <w:szCs w:val="24"/>
              </w:rPr>
            </w:pPr>
            <w:r>
              <w:rPr>
                <w:rFonts w:hint="eastAsia" w:ascii="宋体" w:hAnsi="宋体"/>
                <w:sz w:val="24"/>
                <w:szCs w:val="24"/>
              </w:rPr>
              <w:t>B类特等奖、B类一等奖</w:t>
            </w:r>
          </w:p>
        </w:tc>
        <w:tc>
          <w:tcPr>
            <w:tcW w:w="2257" w:type="dxa"/>
            <w:vAlign w:val="center"/>
          </w:tcPr>
          <w:p>
            <w:pPr>
              <w:jc w:val="center"/>
              <w:rPr>
                <w:rFonts w:ascii="宋体" w:hAnsi="宋体"/>
                <w:sz w:val="24"/>
                <w:szCs w:val="24"/>
              </w:rPr>
            </w:pPr>
            <w:r>
              <w:rPr>
                <w:rFonts w:hint="eastAsia" w:ascii="宋体" w:hAnsi="宋体"/>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Merge w:val="continue"/>
            <w:vAlign w:val="center"/>
          </w:tcPr>
          <w:p>
            <w:pPr>
              <w:jc w:val="center"/>
              <w:rPr>
                <w:rFonts w:ascii="宋体" w:hAnsi="宋体"/>
                <w:sz w:val="24"/>
                <w:szCs w:val="24"/>
              </w:rPr>
            </w:pPr>
          </w:p>
        </w:tc>
        <w:tc>
          <w:tcPr>
            <w:tcW w:w="3927" w:type="dxa"/>
            <w:vAlign w:val="center"/>
          </w:tcPr>
          <w:p>
            <w:pPr>
              <w:jc w:val="center"/>
              <w:rPr>
                <w:rFonts w:ascii="宋体" w:hAnsi="宋体"/>
                <w:sz w:val="24"/>
                <w:szCs w:val="24"/>
              </w:rPr>
            </w:pPr>
            <w:r>
              <w:rPr>
                <w:rFonts w:hint="eastAsia" w:ascii="宋体" w:hAnsi="宋体"/>
                <w:sz w:val="24"/>
                <w:szCs w:val="24"/>
              </w:rPr>
              <w:t>A类二等奖</w:t>
            </w:r>
          </w:p>
        </w:tc>
        <w:tc>
          <w:tcPr>
            <w:tcW w:w="2257" w:type="dxa"/>
            <w:vAlign w:val="center"/>
          </w:tcPr>
          <w:p>
            <w:pPr>
              <w:jc w:val="center"/>
              <w:rPr>
                <w:rFonts w:ascii="宋体" w:hAnsi="宋体"/>
                <w:sz w:val="24"/>
                <w:szCs w:val="24"/>
              </w:rPr>
            </w:pPr>
            <w:r>
              <w:rPr>
                <w:rFonts w:hint="eastAsia" w:ascii="宋体" w:hAnsi="宋体"/>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Merge w:val="continue"/>
            <w:vAlign w:val="center"/>
          </w:tcPr>
          <w:p>
            <w:pPr>
              <w:jc w:val="center"/>
              <w:rPr>
                <w:rFonts w:ascii="宋体" w:hAnsi="宋体"/>
                <w:sz w:val="24"/>
                <w:szCs w:val="24"/>
              </w:rPr>
            </w:pPr>
          </w:p>
        </w:tc>
        <w:tc>
          <w:tcPr>
            <w:tcW w:w="3927" w:type="dxa"/>
            <w:vAlign w:val="center"/>
          </w:tcPr>
          <w:p>
            <w:pPr>
              <w:jc w:val="center"/>
              <w:rPr>
                <w:rFonts w:ascii="宋体" w:hAnsi="宋体"/>
                <w:sz w:val="24"/>
                <w:szCs w:val="24"/>
              </w:rPr>
            </w:pPr>
            <w:r>
              <w:rPr>
                <w:rFonts w:hint="eastAsia" w:ascii="宋体" w:hAnsi="宋体"/>
                <w:sz w:val="24"/>
                <w:szCs w:val="24"/>
              </w:rPr>
              <w:t>B类二等奖</w:t>
            </w:r>
          </w:p>
        </w:tc>
        <w:tc>
          <w:tcPr>
            <w:tcW w:w="2257" w:type="dxa"/>
            <w:vAlign w:val="center"/>
          </w:tcPr>
          <w:p>
            <w:pPr>
              <w:jc w:val="center"/>
              <w:rPr>
                <w:rFonts w:ascii="宋体" w:hAnsi="宋体"/>
                <w:sz w:val="24"/>
                <w:szCs w:val="24"/>
              </w:rPr>
            </w:pPr>
            <w:r>
              <w:rPr>
                <w:rFonts w:hint="eastAsia" w:ascii="宋体" w:hAnsi="宋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Merge w:val="continue"/>
            <w:vAlign w:val="center"/>
          </w:tcPr>
          <w:p>
            <w:pPr>
              <w:jc w:val="center"/>
              <w:rPr>
                <w:rFonts w:ascii="宋体" w:hAnsi="宋体"/>
                <w:sz w:val="24"/>
                <w:szCs w:val="24"/>
              </w:rPr>
            </w:pPr>
          </w:p>
        </w:tc>
        <w:tc>
          <w:tcPr>
            <w:tcW w:w="3927" w:type="dxa"/>
            <w:vAlign w:val="center"/>
          </w:tcPr>
          <w:p>
            <w:pPr>
              <w:jc w:val="center"/>
              <w:rPr>
                <w:rFonts w:ascii="宋体" w:hAnsi="宋体"/>
                <w:sz w:val="24"/>
                <w:szCs w:val="24"/>
              </w:rPr>
            </w:pPr>
            <w:r>
              <w:rPr>
                <w:rFonts w:hint="eastAsia" w:ascii="宋体" w:hAnsi="宋体"/>
                <w:sz w:val="24"/>
                <w:szCs w:val="24"/>
              </w:rPr>
              <w:t>A类三等奖</w:t>
            </w:r>
          </w:p>
        </w:tc>
        <w:tc>
          <w:tcPr>
            <w:tcW w:w="2257" w:type="dxa"/>
            <w:vAlign w:val="center"/>
          </w:tcPr>
          <w:p>
            <w:pPr>
              <w:jc w:val="center"/>
              <w:rPr>
                <w:rFonts w:ascii="宋体" w:hAnsi="宋体"/>
                <w:sz w:val="24"/>
                <w:szCs w:val="24"/>
              </w:rPr>
            </w:pPr>
            <w:r>
              <w:rPr>
                <w:rFonts w:hint="eastAsia" w:ascii="宋体" w:hAnsi="宋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Merge w:val="continue"/>
            <w:vAlign w:val="center"/>
          </w:tcPr>
          <w:p>
            <w:pPr>
              <w:jc w:val="center"/>
              <w:rPr>
                <w:rFonts w:ascii="宋体" w:hAnsi="宋体"/>
                <w:sz w:val="24"/>
                <w:szCs w:val="24"/>
              </w:rPr>
            </w:pPr>
          </w:p>
        </w:tc>
        <w:tc>
          <w:tcPr>
            <w:tcW w:w="3927" w:type="dxa"/>
            <w:vAlign w:val="center"/>
          </w:tcPr>
          <w:p>
            <w:pPr>
              <w:jc w:val="center"/>
              <w:rPr>
                <w:rFonts w:ascii="宋体" w:hAnsi="宋体"/>
                <w:sz w:val="24"/>
                <w:szCs w:val="24"/>
              </w:rPr>
            </w:pPr>
            <w:r>
              <w:rPr>
                <w:rFonts w:hint="eastAsia" w:ascii="宋体" w:hAnsi="宋体"/>
                <w:sz w:val="24"/>
                <w:szCs w:val="24"/>
              </w:rPr>
              <w:t>B类三等奖</w:t>
            </w:r>
          </w:p>
        </w:tc>
        <w:tc>
          <w:tcPr>
            <w:tcW w:w="2257" w:type="dxa"/>
            <w:vAlign w:val="center"/>
          </w:tcPr>
          <w:p>
            <w:pPr>
              <w:jc w:val="center"/>
              <w:rPr>
                <w:rFonts w:ascii="宋体" w:hAnsi="宋体"/>
                <w:sz w:val="24"/>
                <w:szCs w:val="24"/>
              </w:rPr>
            </w:pPr>
            <w:r>
              <w:rPr>
                <w:rFonts w:hint="eastAsia"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Merge w:val="restart"/>
            <w:vAlign w:val="center"/>
          </w:tcPr>
          <w:p>
            <w:pPr>
              <w:jc w:val="center"/>
              <w:rPr>
                <w:rFonts w:ascii="宋体" w:hAnsi="宋体"/>
                <w:sz w:val="24"/>
                <w:szCs w:val="24"/>
              </w:rPr>
            </w:pPr>
            <w:r>
              <w:rPr>
                <w:rFonts w:hint="eastAsia" w:ascii="宋体" w:hAnsi="宋体"/>
                <w:sz w:val="24"/>
                <w:szCs w:val="24"/>
              </w:rPr>
              <w:t>省级学科竞赛</w:t>
            </w:r>
          </w:p>
        </w:tc>
        <w:tc>
          <w:tcPr>
            <w:tcW w:w="3927" w:type="dxa"/>
            <w:vAlign w:val="center"/>
          </w:tcPr>
          <w:p>
            <w:pPr>
              <w:jc w:val="center"/>
              <w:rPr>
                <w:rFonts w:ascii="宋体" w:hAnsi="宋体"/>
                <w:sz w:val="24"/>
                <w:szCs w:val="24"/>
              </w:rPr>
            </w:pPr>
            <w:r>
              <w:rPr>
                <w:rFonts w:hint="eastAsia" w:ascii="宋体" w:hAnsi="宋体"/>
                <w:sz w:val="24"/>
                <w:szCs w:val="24"/>
              </w:rPr>
              <w:t>A类特等奖</w:t>
            </w:r>
          </w:p>
        </w:tc>
        <w:tc>
          <w:tcPr>
            <w:tcW w:w="2257" w:type="dxa"/>
            <w:vAlign w:val="center"/>
          </w:tcPr>
          <w:p>
            <w:pPr>
              <w:jc w:val="center"/>
              <w:rPr>
                <w:rFonts w:ascii="宋体" w:hAnsi="宋体"/>
                <w:sz w:val="24"/>
                <w:szCs w:val="24"/>
              </w:rPr>
            </w:pPr>
            <w:r>
              <w:rPr>
                <w:rFonts w:hint="eastAsia" w:ascii="宋体" w:hAnsi="宋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Merge w:val="continue"/>
            <w:vAlign w:val="center"/>
          </w:tcPr>
          <w:p>
            <w:pPr>
              <w:jc w:val="center"/>
              <w:rPr>
                <w:rFonts w:ascii="宋体" w:hAnsi="宋体"/>
                <w:sz w:val="24"/>
                <w:szCs w:val="24"/>
              </w:rPr>
            </w:pPr>
          </w:p>
        </w:tc>
        <w:tc>
          <w:tcPr>
            <w:tcW w:w="3927" w:type="dxa"/>
            <w:vAlign w:val="center"/>
          </w:tcPr>
          <w:p>
            <w:pPr>
              <w:jc w:val="center"/>
              <w:rPr>
                <w:rFonts w:ascii="宋体" w:hAnsi="宋体"/>
                <w:sz w:val="24"/>
                <w:szCs w:val="24"/>
              </w:rPr>
            </w:pPr>
            <w:r>
              <w:rPr>
                <w:rFonts w:hint="eastAsia" w:ascii="宋体" w:hAnsi="宋体"/>
                <w:sz w:val="24"/>
                <w:szCs w:val="24"/>
              </w:rPr>
              <w:t>B类特等奖</w:t>
            </w:r>
          </w:p>
        </w:tc>
        <w:tc>
          <w:tcPr>
            <w:tcW w:w="2257" w:type="dxa"/>
            <w:vAlign w:val="center"/>
          </w:tcPr>
          <w:p>
            <w:pPr>
              <w:jc w:val="center"/>
              <w:rPr>
                <w:rFonts w:ascii="宋体" w:hAnsi="宋体"/>
                <w:sz w:val="24"/>
                <w:szCs w:val="24"/>
              </w:rPr>
            </w:pPr>
            <w:r>
              <w:rPr>
                <w:rFonts w:hint="eastAsia"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Merge w:val="continue"/>
            <w:vAlign w:val="center"/>
          </w:tcPr>
          <w:p>
            <w:pPr>
              <w:jc w:val="center"/>
              <w:rPr>
                <w:rFonts w:ascii="宋体" w:hAnsi="宋体"/>
                <w:sz w:val="24"/>
                <w:szCs w:val="24"/>
              </w:rPr>
            </w:pPr>
          </w:p>
        </w:tc>
        <w:tc>
          <w:tcPr>
            <w:tcW w:w="3927" w:type="dxa"/>
            <w:vAlign w:val="center"/>
          </w:tcPr>
          <w:p>
            <w:pPr>
              <w:jc w:val="center"/>
              <w:rPr>
                <w:rFonts w:ascii="宋体" w:hAnsi="宋体"/>
                <w:sz w:val="24"/>
                <w:szCs w:val="24"/>
              </w:rPr>
            </w:pPr>
            <w:r>
              <w:rPr>
                <w:rFonts w:hint="eastAsia" w:ascii="宋体" w:hAnsi="宋体"/>
                <w:sz w:val="24"/>
                <w:szCs w:val="24"/>
              </w:rPr>
              <w:t>A类一等奖</w:t>
            </w:r>
          </w:p>
        </w:tc>
        <w:tc>
          <w:tcPr>
            <w:tcW w:w="2257" w:type="dxa"/>
            <w:vAlign w:val="center"/>
          </w:tcPr>
          <w:p>
            <w:pPr>
              <w:jc w:val="center"/>
              <w:rPr>
                <w:rFonts w:ascii="宋体" w:hAnsi="宋体"/>
                <w:sz w:val="24"/>
                <w:szCs w:val="24"/>
              </w:rPr>
            </w:pPr>
            <w:r>
              <w:rPr>
                <w:rFonts w:hint="eastAsia"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Merge w:val="continue"/>
            <w:vAlign w:val="center"/>
          </w:tcPr>
          <w:p>
            <w:pPr>
              <w:jc w:val="center"/>
              <w:rPr>
                <w:rFonts w:ascii="宋体" w:hAnsi="宋体"/>
                <w:sz w:val="24"/>
                <w:szCs w:val="24"/>
              </w:rPr>
            </w:pPr>
          </w:p>
        </w:tc>
        <w:tc>
          <w:tcPr>
            <w:tcW w:w="3927" w:type="dxa"/>
            <w:vAlign w:val="center"/>
          </w:tcPr>
          <w:p>
            <w:pPr>
              <w:jc w:val="center"/>
              <w:rPr>
                <w:rFonts w:ascii="宋体" w:hAnsi="宋体"/>
                <w:sz w:val="24"/>
                <w:szCs w:val="24"/>
              </w:rPr>
            </w:pPr>
            <w:r>
              <w:rPr>
                <w:rFonts w:hint="eastAsia" w:ascii="宋体" w:hAnsi="宋体"/>
                <w:sz w:val="24"/>
                <w:szCs w:val="24"/>
              </w:rPr>
              <w:t>B类一等奖</w:t>
            </w:r>
          </w:p>
        </w:tc>
        <w:tc>
          <w:tcPr>
            <w:tcW w:w="2257" w:type="dxa"/>
            <w:vAlign w:val="center"/>
          </w:tcPr>
          <w:p>
            <w:pPr>
              <w:jc w:val="center"/>
              <w:rPr>
                <w:rFonts w:ascii="宋体" w:hAnsi="宋体"/>
                <w:sz w:val="24"/>
                <w:szCs w:val="24"/>
              </w:rPr>
            </w:pPr>
            <w:r>
              <w:rPr>
                <w:rFonts w:hint="eastAsia" w:ascii="宋体" w:hAnsi="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Merge w:val="continue"/>
            <w:vAlign w:val="center"/>
          </w:tcPr>
          <w:p>
            <w:pPr>
              <w:jc w:val="center"/>
              <w:rPr>
                <w:rFonts w:ascii="宋体" w:hAnsi="宋体"/>
                <w:sz w:val="24"/>
                <w:szCs w:val="24"/>
              </w:rPr>
            </w:pPr>
          </w:p>
        </w:tc>
        <w:tc>
          <w:tcPr>
            <w:tcW w:w="3927" w:type="dxa"/>
            <w:vAlign w:val="center"/>
          </w:tcPr>
          <w:p>
            <w:pPr>
              <w:jc w:val="center"/>
              <w:rPr>
                <w:rFonts w:ascii="宋体" w:hAnsi="宋体"/>
                <w:sz w:val="24"/>
                <w:szCs w:val="24"/>
              </w:rPr>
            </w:pPr>
            <w:r>
              <w:rPr>
                <w:rFonts w:hint="eastAsia" w:ascii="宋体" w:hAnsi="宋体"/>
                <w:sz w:val="24"/>
                <w:szCs w:val="24"/>
              </w:rPr>
              <w:t>A类二等奖</w:t>
            </w:r>
          </w:p>
        </w:tc>
        <w:tc>
          <w:tcPr>
            <w:tcW w:w="2257" w:type="dxa"/>
            <w:vAlign w:val="center"/>
          </w:tcPr>
          <w:p>
            <w:pPr>
              <w:jc w:val="center"/>
              <w:rPr>
                <w:rFonts w:ascii="宋体" w:hAnsi="宋体"/>
                <w:sz w:val="24"/>
                <w:szCs w:val="24"/>
              </w:rPr>
            </w:pPr>
            <w:r>
              <w:rPr>
                <w:rFonts w:hint="eastAsia" w:ascii="宋体" w:hAnsi="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Merge w:val="continue"/>
            <w:vAlign w:val="center"/>
          </w:tcPr>
          <w:p>
            <w:pPr>
              <w:jc w:val="center"/>
              <w:rPr>
                <w:rFonts w:ascii="宋体" w:hAnsi="宋体"/>
                <w:sz w:val="24"/>
                <w:szCs w:val="24"/>
              </w:rPr>
            </w:pPr>
          </w:p>
        </w:tc>
        <w:tc>
          <w:tcPr>
            <w:tcW w:w="3927" w:type="dxa"/>
            <w:vAlign w:val="center"/>
          </w:tcPr>
          <w:p>
            <w:pPr>
              <w:jc w:val="center"/>
              <w:rPr>
                <w:rFonts w:ascii="宋体" w:hAnsi="宋体"/>
                <w:sz w:val="24"/>
                <w:szCs w:val="24"/>
              </w:rPr>
            </w:pPr>
            <w:r>
              <w:rPr>
                <w:rFonts w:hint="eastAsia" w:ascii="宋体" w:hAnsi="宋体"/>
                <w:sz w:val="24"/>
                <w:szCs w:val="24"/>
              </w:rPr>
              <w:t>B类二等奖</w:t>
            </w:r>
          </w:p>
        </w:tc>
        <w:tc>
          <w:tcPr>
            <w:tcW w:w="2257" w:type="dxa"/>
            <w:vAlign w:val="center"/>
          </w:tcPr>
          <w:p>
            <w:pPr>
              <w:jc w:val="center"/>
              <w:rPr>
                <w:rFonts w:ascii="宋体" w:hAnsi="宋体"/>
                <w:sz w:val="24"/>
                <w:szCs w:val="24"/>
              </w:rPr>
            </w:pPr>
            <w:r>
              <w:rPr>
                <w:rFonts w:hint="eastAsia" w:ascii="宋体" w:hAnsi="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Merge w:val="continue"/>
            <w:vAlign w:val="center"/>
          </w:tcPr>
          <w:p>
            <w:pPr>
              <w:jc w:val="center"/>
              <w:rPr>
                <w:rFonts w:ascii="宋体" w:hAnsi="宋体"/>
                <w:sz w:val="24"/>
                <w:szCs w:val="24"/>
              </w:rPr>
            </w:pPr>
          </w:p>
        </w:tc>
        <w:tc>
          <w:tcPr>
            <w:tcW w:w="3927" w:type="dxa"/>
            <w:vAlign w:val="center"/>
          </w:tcPr>
          <w:p>
            <w:pPr>
              <w:jc w:val="center"/>
              <w:rPr>
                <w:rFonts w:ascii="宋体" w:hAnsi="宋体"/>
                <w:sz w:val="24"/>
                <w:szCs w:val="24"/>
              </w:rPr>
            </w:pPr>
            <w:r>
              <w:rPr>
                <w:rFonts w:hint="eastAsia" w:ascii="宋体" w:hAnsi="宋体"/>
                <w:sz w:val="24"/>
                <w:szCs w:val="24"/>
              </w:rPr>
              <w:t>A类三等奖</w:t>
            </w:r>
          </w:p>
        </w:tc>
        <w:tc>
          <w:tcPr>
            <w:tcW w:w="2257" w:type="dxa"/>
            <w:vAlign w:val="center"/>
          </w:tcPr>
          <w:p>
            <w:pPr>
              <w:jc w:val="center"/>
              <w:rPr>
                <w:rFonts w:ascii="宋体" w:hAnsi="宋体"/>
                <w:sz w:val="24"/>
                <w:szCs w:val="24"/>
              </w:rPr>
            </w:pPr>
            <w:r>
              <w:rPr>
                <w:rFonts w:hint="eastAsia" w:ascii="宋体" w:hAnsi="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Merge w:val="continue"/>
            <w:vAlign w:val="center"/>
          </w:tcPr>
          <w:p>
            <w:pPr>
              <w:jc w:val="center"/>
              <w:rPr>
                <w:rFonts w:ascii="宋体" w:hAnsi="宋体"/>
                <w:sz w:val="24"/>
                <w:szCs w:val="24"/>
              </w:rPr>
            </w:pPr>
          </w:p>
        </w:tc>
        <w:tc>
          <w:tcPr>
            <w:tcW w:w="3927" w:type="dxa"/>
            <w:vAlign w:val="center"/>
          </w:tcPr>
          <w:p>
            <w:pPr>
              <w:jc w:val="center"/>
              <w:rPr>
                <w:rFonts w:ascii="宋体" w:hAnsi="宋体"/>
                <w:sz w:val="24"/>
                <w:szCs w:val="24"/>
              </w:rPr>
            </w:pPr>
            <w:r>
              <w:rPr>
                <w:rFonts w:hint="eastAsia" w:ascii="宋体" w:hAnsi="宋体"/>
                <w:sz w:val="24"/>
                <w:szCs w:val="24"/>
              </w:rPr>
              <w:t>B类三等奖</w:t>
            </w:r>
          </w:p>
        </w:tc>
        <w:tc>
          <w:tcPr>
            <w:tcW w:w="2257" w:type="dxa"/>
            <w:vAlign w:val="center"/>
          </w:tcPr>
          <w:p>
            <w:pPr>
              <w:jc w:val="center"/>
              <w:rPr>
                <w:rFonts w:ascii="宋体" w:hAnsi="宋体"/>
                <w:sz w:val="24"/>
                <w:szCs w:val="24"/>
              </w:rPr>
            </w:pPr>
            <w:r>
              <w:rPr>
                <w:rFonts w:hint="eastAsia" w:ascii="宋体" w:hAnsi="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jc w:val="center"/>
              <w:rPr>
                <w:rFonts w:ascii="宋体" w:hAnsi="宋体"/>
                <w:sz w:val="24"/>
                <w:szCs w:val="24"/>
              </w:rPr>
            </w:pPr>
            <w:r>
              <w:rPr>
                <w:rFonts w:hint="eastAsia" w:ascii="宋体" w:hAnsi="宋体"/>
                <w:sz w:val="24"/>
                <w:szCs w:val="24"/>
              </w:rPr>
              <w:t>市级学科竞赛</w:t>
            </w:r>
          </w:p>
        </w:tc>
        <w:tc>
          <w:tcPr>
            <w:tcW w:w="3927" w:type="dxa"/>
            <w:vAlign w:val="center"/>
          </w:tcPr>
          <w:p>
            <w:pPr>
              <w:jc w:val="center"/>
              <w:rPr>
                <w:rFonts w:ascii="宋体" w:hAnsi="宋体"/>
                <w:sz w:val="24"/>
                <w:szCs w:val="24"/>
              </w:rPr>
            </w:pPr>
            <w:r>
              <w:rPr>
                <w:rFonts w:hint="eastAsia" w:ascii="宋体" w:hAnsi="宋体"/>
                <w:sz w:val="24"/>
                <w:szCs w:val="24"/>
              </w:rPr>
              <w:t>A类特等奖、A类一等奖</w:t>
            </w:r>
          </w:p>
        </w:tc>
        <w:tc>
          <w:tcPr>
            <w:tcW w:w="2257" w:type="dxa"/>
            <w:vAlign w:val="center"/>
          </w:tcPr>
          <w:p>
            <w:pPr>
              <w:jc w:val="center"/>
              <w:rPr>
                <w:rFonts w:ascii="宋体" w:hAnsi="宋体"/>
                <w:sz w:val="24"/>
                <w:szCs w:val="24"/>
              </w:rPr>
            </w:pPr>
            <w:r>
              <w:rPr>
                <w:rFonts w:hint="eastAsia" w:ascii="宋体" w:hAnsi="宋体"/>
                <w:sz w:val="24"/>
                <w:szCs w:val="24"/>
              </w:rPr>
              <w:t>5</w:t>
            </w:r>
          </w:p>
        </w:tc>
      </w:tr>
    </w:tbl>
    <w:p>
      <w:pPr>
        <w:spacing w:line="360" w:lineRule="auto"/>
        <w:rPr>
          <w:rFonts w:ascii="宋体" w:hAnsi="宋体"/>
          <w:sz w:val="24"/>
          <w:szCs w:val="21"/>
        </w:rPr>
      </w:pPr>
      <w:r>
        <w:rPr>
          <w:rFonts w:hint="eastAsia" w:ascii="宋体" w:hAnsi="宋体"/>
          <w:sz w:val="24"/>
          <w:szCs w:val="21"/>
        </w:rPr>
        <w:t>说明：</w:t>
      </w:r>
      <w:r>
        <w:rPr>
          <w:rFonts w:ascii="宋体" w:hAnsi="宋体"/>
          <w:sz w:val="24"/>
          <w:szCs w:val="21"/>
        </w:rPr>
        <w:t>①获奖等级按</w:t>
      </w:r>
      <w:r>
        <w:rPr>
          <w:rFonts w:hint="eastAsia" w:ascii="宋体" w:hAnsi="宋体"/>
          <w:sz w:val="24"/>
          <w:szCs w:val="21"/>
        </w:rPr>
        <w:t>比赛</w:t>
      </w:r>
      <w:r>
        <w:rPr>
          <w:rFonts w:ascii="宋体" w:hAnsi="宋体"/>
          <w:sz w:val="24"/>
          <w:szCs w:val="21"/>
        </w:rPr>
        <w:t>当年公布的</w:t>
      </w:r>
      <w:r>
        <w:rPr>
          <w:rFonts w:hint="eastAsia" w:ascii="宋体" w:hAnsi="宋体"/>
          <w:sz w:val="24"/>
          <w:szCs w:val="21"/>
        </w:rPr>
        <w:t>《三江学院</w:t>
      </w:r>
      <w:r>
        <w:rPr>
          <w:rFonts w:ascii="宋体" w:hAnsi="宋体"/>
          <w:sz w:val="24"/>
          <w:szCs w:val="21"/>
        </w:rPr>
        <w:t>大学生创新创业竞赛项目指导目录</w:t>
      </w:r>
      <w:r>
        <w:rPr>
          <w:rFonts w:hint="eastAsia" w:ascii="宋体" w:hAnsi="宋体"/>
          <w:sz w:val="24"/>
          <w:szCs w:val="21"/>
        </w:rPr>
        <w:t>》</w:t>
      </w:r>
      <w:r>
        <w:rPr>
          <w:rFonts w:ascii="宋体" w:hAnsi="宋体"/>
          <w:sz w:val="24"/>
          <w:szCs w:val="21"/>
        </w:rPr>
        <w:t>进行认定。</w:t>
      </w:r>
    </w:p>
    <w:p>
      <w:pPr>
        <w:spacing w:line="360" w:lineRule="auto"/>
        <w:ind w:firstLine="720" w:firstLineChars="300"/>
        <w:rPr>
          <w:rFonts w:ascii="宋体" w:hAnsi="宋体"/>
          <w:sz w:val="24"/>
          <w:szCs w:val="21"/>
        </w:rPr>
      </w:pPr>
      <w:r>
        <w:rPr>
          <w:rFonts w:ascii="宋体" w:hAnsi="宋体"/>
          <w:sz w:val="24"/>
          <w:szCs w:val="21"/>
        </w:rPr>
        <w:fldChar w:fldCharType="begin"/>
      </w:r>
      <w:r>
        <w:rPr>
          <w:rFonts w:ascii="宋体" w:hAnsi="宋体"/>
          <w:sz w:val="24"/>
          <w:szCs w:val="21"/>
        </w:rPr>
        <w:instrText xml:space="preserve"> </w:instrText>
      </w:r>
      <w:r>
        <w:rPr>
          <w:rFonts w:hint="eastAsia" w:ascii="宋体" w:hAnsi="宋体"/>
          <w:sz w:val="24"/>
          <w:szCs w:val="21"/>
        </w:rPr>
        <w:instrText xml:space="preserve">= 2 \* GB3</w:instrText>
      </w:r>
      <w:r>
        <w:rPr>
          <w:rFonts w:ascii="宋体" w:hAnsi="宋体"/>
          <w:sz w:val="24"/>
          <w:szCs w:val="21"/>
        </w:rPr>
        <w:instrText xml:space="preserve"> </w:instrText>
      </w:r>
      <w:r>
        <w:rPr>
          <w:rFonts w:ascii="宋体" w:hAnsi="宋体"/>
          <w:sz w:val="24"/>
          <w:szCs w:val="21"/>
        </w:rPr>
        <w:fldChar w:fldCharType="separate"/>
      </w:r>
      <w:r>
        <w:rPr>
          <w:rFonts w:hint="eastAsia" w:ascii="宋体" w:hAnsi="宋体"/>
          <w:sz w:val="24"/>
          <w:szCs w:val="21"/>
        </w:rPr>
        <w:t>②</w:t>
      </w:r>
      <w:r>
        <w:rPr>
          <w:rFonts w:ascii="宋体" w:hAnsi="宋体"/>
          <w:sz w:val="24"/>
          <w:szCs w:val="21"/>
        </w:rPr>
        <w:fldChar w:fldCharType="end"/>
      </w:r>
      <w:r>
        <w:rPr>
          <w:rFonts w:hint="eastAsia" w:ascii="宋体" w:hAnsi="宋体"/>
          <w:sz w:val="24"/>
          <w:szCs w:val="21"/>
        </w:rPr>
        <w:t>以团队参加的竞赛，加分学生原则上不超过5人，其中主力队员加分系数按获奖等级对应的标准进行认定（主力队员不超过3人），其他队员加分系数按获奖等级降一等级后对应的标准进行认定。</w:t>
      </w:r>
    </w:p>
    <w:p>
      <w:pPr>
        <w:spacing w:line="360" w:lineRule="auto"/>
        <w:ind w:firstLine="720" w:firstLineChars="300"/>
        <w:rPr>
          <w:rFonts w:ascii="宋体" w:hAnsi="宋体"/>
          <w:sz w:val="24"/>
          <w:szCs w:val="21"/>
        </w:rPr>
      </w:pPr>
      <w:r>
        <w:rPr>
          <w:rFonts w:ascii="宋体" w:hAnsi="宋体"/>
          <w:sz w:val="24"/>
          <w:szCs w:val="21"/>
        </w:rPr>
        <w:fldChar w:fldCharType="begin"/>
      </w:r>
      <w:r>
        <w:rPr>
          <w:rFonts w:ascii="宋体" w:hAnsi="宋体"/>
          <w:sz w:val="24"/>
          <w:szCs w:val="21"/>
        </w:rPr>
        <w:instrText xml:space="preserve"> </w:instrText>
      </w:r>
      <w:r>
        <w:rPr>
          <w:rFonts w:hint="eastAsia" w:ascii="宋体" w:hAnsi="宋体"/>
          <w:sz w:val="24"/>
          <w:szCs w:val="21"/>
        </w:rPr>
        <w:instrText xml:space="preserve">= 3 \* GB3</w:instrText>
      </w:r>
      <w:r>
        <w:rPr>
          <w:rFonts w:ascii="宋体" w:hAnsi="宋体"/>
          <w:sz w:val="24"/>
          <w:szCs w:val="21"/>
        </w:rPr>
        <w:instrText xml:space="preserve"> </w:instrText>
      </w:r>
      <w:r>
        <w:rPr>
          <w:rFonts w:ascii="宋体" w:hAnsi="宋体"/>
          <w:sz w:val="24"/>
          <w:szCs w:val="21"/>
        </w:rPr>
        <w:fldChar w:fldCharType="separate"/>
      </w:r>
      <w:r>
        <w:rPr>
          <w:rFonts w:hint="eastAsia" w:ascii="宋体" w:hAnsi="宋体"/>
          <w:sz w:val="24"/>
          <w:szCs w:val="21"/>
        </w:rPr>
        <w:t>③</w:t>
      </w:r>
      <w:r>
        <w:rPr>
          <w:rFonts w:ascii="宋体" w:hAnsi="宋体"/>
          <w:sz w:val="24"/>
          <w:szCs w:val="21"/>
        </w:rPr>
        <w:fldChar w:fldCharType="end"/>
      </w:r>
      <w:r>
        <w:rPr>
          <w:rFonts w:hint="eastAsia" w:ascii="宋体" w:hAnsi="宋体"/>
          <w:sz w:val="24"/>
          <w:szCs w:val="21"/>
        </w:rPr>
        <w:t>同一项目重复获奖者，按最高级别认定加分系数，不得累计认定加分系数。</w:t>
      </w:r>
    </w:p>
    <w:p>
      <w:pPr>
        <w:spacing w:line="360" w:lineRule="auto"/>
        <w:ind w:firstLine="480" w:firstLineChars="200"/>
        <w:rPr>
          <w:rFonts w:ascii="宋体" w:hAnsi="宋体"/>
          <w:sz w:val="24"/>
          <w:szCs w:val="21"/>
        </w:rPr>
      </w:pPr>
      <w:r>
        <w:rPr>
          <w:rFonts w:hint="eastAsia" w:ascii="宋体" w:hAnsi="宋体"/>
          <w:sz w:val="24"/>
          <w:szCs w:val="21"/>
        </w:rPr>
        <w:t>（2）学生以第一作者申请发明专利、著作权、实用新型专利，或以第一作者在国内外高水平学术期刊上公开发表学术论文等，</w:t>
      </w:r>
      <w:r>
        <w:rPr>
          <w:rFonts w:ascii="宋体" w:hAnsi="宋体"/>
          <w:sz w:val="24"/>
          <w:szCs w:val="21"/>
        </w:rPr>
        <w:t>可</w:t>
      </w:r>
      <w:r>
        <w:rPr>
          <w:rFonts w:hint="eastAsia" w:ascii="宋体" w:hAnsi="宋体"/>
          <w:sz w:val="24"/>
          <w:szCs w:val="21"/>
        </w:rPr>
        <w:t>申请与专利或学术论文内容相对应的相关</w:t>
      </w:r>
      <w:r>
        <w:rPr>
          <w:rFonts w:ascii="宋体" w:hAnsi="宋体"/>
          <w:sz w:val="24"/>
          <w:szCs w:val="21"/>
        </w:rPr>
        <w:t>课程</w:t>
      </w:r>
      <w:r>
        <w:rPr>
          <w:rFonts w:hint="eastAsia" w:ascii="宋体" w:hAnsi="宋体"/>
          <w:sz w:val="24"/>
          <w:szCs w:val="21"/>
        </w:rPr>
        <w:t>的总评成</w:t>
      </w:r>
      <w:r>
        <w:rPr>
          <w:rFonts w:ascii="宋体" w:hAnsi="宋体"/>
          <w:sz w:val="24"/>
          <w:szCs w:val="21"/>
        </w:rPr>
        <w:t>绩加分</w:t>
      </w:r>
      <w:r>
        <w:rPr>
          <w:rFonts w:hint="eastAsia" w:ascii="宋体" w:hAnsi="宋体"/>
          <w:sz w:val="24"/>
          <w:szCs w:val="21"/>
        </w:rPr>
        <w:t>，但最高不能超过95分。具体加分标准如下：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4774"/>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pPr>
              <w:jc w:val="center"/>
              <w:rPr>
                <w:rFonts w:ascii="宋体" w:hAnsi="宋体"/>
                <w:sz w:val="24"/>
                <w:szCs w:val="24"/>
              </w:rPr>
            </w:pPr>
            <w:r>
              <w:rPr>
                <w:rFonts w:hint="eastAsia" w:ascii="宋体" w:hAnsi="宋体"/>
                <w:sz w:val="24"/>
                <w:szCs w:val="24"/>
              </w:rPr>
              <w:t>成果形式</w:t>
            </w:r>
          </w:p>
        </w:tc>
        <w:tc>
          <w:tcPr>
            <w:tcW w:w="4774" w:type="dxa"/>
            <w:vAlign w:val="center"/>
          </w:tcPr>
          <w:p>
            <w:pPr>
              <w:jc w:val="center"/>
              <w:rPr>
                <w:rFonts w:ascii="宋体" w:hAnsi="宋体"/>
                <w:sz w:val="24"/>
                <w:szCs w:val="24"/>
              </w:rPr>
            </w:pPr>
            <w:r>
              <w:rPr>
                <w:rFonts w:hint="eastAsia" w:ascii="宋体" w:hAnsi="宋体"/>
                <w:sz w:val="24"/>
                <w:szCs w:val="24"/>
              </w:rPr>
              <w:t>成果级别</w:t>
            </w:r>
          </w:p>
        </w:tc>
        <w:tc>
          <w:tcPr>
            <w:tcW w:w="1410" w:type="dxa"/>
            <w:vAlign w:val="center"/>
          </w:tcPr>
          <w:p>
            <w:pPr>
              <w:jc w:val="center"/>
              <w:rPr>
                <w:rFonts w:ascii="宋体" w:hAnsi="宋体"/>
                <w:sz w:val="24"/>
                <w:szCs w:val="24"/>
              </w:rPr>
            </w:pPr>
            <w:r>
              <w:rPr>
                <w:rFonts w:hint="eastAsia" w:ascii="宋体" w:hAnsi="宋体"/>
                <w:sz w:val="24"/>
                <w:szCs w:val="24"/>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Merge w:val="restart"/>
            <w:vAlign w:val="center"/>
          </w:tcPr>
          <w:p>
            <w:pPr>
              <w:jc w:val="center"/>
              <w:rPr>
                <w:rFonts w:ascii="宋体" w:hAnsi="宋体"/>
                <w:sz w:val="24"/>
                <w:szCs w:val="24"/>
              </w:rPr>
            </w:pPr>
            <w:r>
              <w:rPr>
                <w:rFonts w:hint="eastAsia" w:ascii="宋体" w:hAnsi="宋体"/>
                <w:sz w:val="24"/>
                <w:szCs w:val="21"/>
              </w:rPr>
              <w:t>专利、著作权</w:t>
            </w:r>
          </w:p>
        </w:tc>
        <w:tc>
          <w:tcPr>
            <w:tcW w:w="4774" w:type="dxa"/>
            <w:vAlign w:val="center"/>
          </w:tcPr>
          <w:p>
            <w:pPr>
              <w:jc w:val="left"/>
              <w:rPr>
                <w:rFonts w:ascii="宋体" w:hAnsi="宋体"/>
                <w:sz w:val="24"/>
                <w:szCs w:val="24"/>
              </w:rPr>
            </w:pPr>
            <w:r>
              <w:rPr>
                <w:rFonts w:hint="eastAsia" w:ascii="宋体" w:hAnsi="宋体"/>
                <w:sz w:val="24"/>
                <w:szCs w:val="24"/>
              </w:rPr>
              <w:t>获得发明专利</w:t>
            </w:r>
          </w:p>
        </w:tc>
        <w:tc>
          <w:tcPr>
            <w:tcW w:w="1410" w:type="dxa"/>
            <w:vAlign w:val="center"/>
          </w:tcPr>
          <w:p>
            <w:pPr>
              <w:jc w:val="center"/>
              <w:rPr>
                <w:rFonts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Merge w:val="continue"/>
            <w:vAlign w:val="center"/>
          </w:tcPr>
          <w:p>
            <w:pPr>
              <w:jc w:val="center"/>
              <w:rPr>
                <w:rFonts w:ascii="宋体" w:hAnsi="宋体"/>
                <w:sz w:val="24"/>
                <w:szCs w:val="24"/>
              </w:rPr>
            </w:pPr>
          </w:p>
        </w:tc>
        <w:tc>
          <w:tcPr>
            <w:tcW w:w="4774" w:type="dxa"/>
            <w:vAlign w:val="center"/>
          </w:tcPr>
          <w:p>
            <w:pPr>
              <w:jc w:val="left"/>
              <w:rPr>
                <w:rFonts w:ascii="宋体" w:hAnsi="宋体"/>
                <w:sz w:val="24"/>
                <w:szCs w:val="24"/>
              </w:rPr>
            </w:pPr>
            <w:r>
              <w:rPr>
                <w:rFonts w:hint="eastAsia" w:ascii="宋体" w:hAnsi="宋体"/>
                <w:sz w:val="24"/>
                <w:szCs w:val="24"/>
              </w:rPr>
              <w:t>获得</w:t>
            </w:r>
            <w:r>
              <w:rPr>
                <w:rFonts w:hint="eastAsia" w:ascii="宋体" w:hAnsi="宋体"/>
                <w:sz w:val="24"/>
                <w:szCs w:val="21"/>
              </w:rPr>
              <w:t>著作权、实用新型专利</w:t>
            </w:r>
          </w:p>
        </w:tc>
        <w:tc>
          <w:tcPr>
            <w:tcW w:w="1410" w:type="dxa"/>
            <w:vAlign w:val="center"/>
          </w:tcPr>
          <w:p>
            <w:pPr>
              <w:jc w:val="center"/>
              <w:rPr>
                <w:rFonts w:ascii="宋体" w:hAnsi="宋体"/>
                <w:sz w:val="24"/>
                <w:szCs w:val="24"/>
              </w:rPr>
            </w:pPr>
            <w:r>
              <w:rPr>
                <w:rFonts w:hint="eastAsia" w:ascii="宋体" w:hAnsi="宋体"/>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Merge w:val="continue"/>
            <w:vAlign w:val="center"/>
          </w:tcPr>
          <w:p>
            <w:pPr>
              <w:jc w:val="center"/>
              <w:rPr>
                <w:rFonts w:ascii="宋体" w:hAnsi="宋体"/>
                <w:sz w:val="24"/>
                <w:szCs w:val="24"/>
              </w:rPr>
            </w:pPr>
          </w:p>
        </w:tc>
        <w:tc>
          <w:tcPr>
            <w:tcW w:w="4774" w:type="dxa"/>
            <w:vAlign w:val="center"/>
          </w:tcPr>
          <w:p>
            <w:pPr>
              <w:jc w:val="left"/>
              <w:rPr>
                <w:rFonts w:ascii="宋体" w:hAnsi="宋体"/>
                <w:sz w:val="24"/>
                <w:szCs w:val="24"/>
              </w:rPr>
            </w:pPr>
            <w:r>
              <w:rPr>
                <w:rFonts w:hint="eastAsia" w:ascii="宋体" w:hAnsi="宋体"/>
                <w:sz w:val="24"/>
                <w:szCs w:val="21"/>
              </w:rPr>
              <w:t>申请发明专利、著作权、实用新型专利</w:t>
            </w:r>
          </w:p>
        </w:tc>
        <w:tc>
          <w:tcPr>
            <w:tcW w:w="1410" w:type="dxa"/>
            <w:vAlign w:val="center"/>
          </w:tcPr>
          <w:p>
            <w:pPr>
              <w:jc w:val="center"/>
              <w:rPr>
                <w:rFonts w:ascii="宋体" w:hAnsi="宋体"/>
                <w:sz w:val="24"/>
                <w:szCs w:val="24"/>
              </w:rPr>
            </w:pPr>
            <w:r>
              <w:rPr>
                <w:rFonts w:hint="eastAsia" w:ascii="宋体" w:hAnsi="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Merge w:val="restart"/>
            <w:vAlign w:val="center"/>
          </w:tcPr>
          <w:p>
            <w:pPr>
              <w:jc w:val="center"/>
              <w:rPr>
                <w:rFonts w:ascii="宋体" w:hAnsi="宋体"/>
                <w:sz w:val="24"/>
                <w:szCs w:val="24"/>
              </w:rPr>
            </w:pPr>
            <w:r>
              <w:rPr>
                <w:rFonts w:hint="eastAsia" w:ascii="宋体" w:hAnsi="宋体"/>
                <w:sz w:val="24"/>
                <w:szCs w:val="24"/>
              </w:rPr>
              <w:t>学术论文</w:t>
            </w:r>
          </w:p>
        </w:tc>
        <w:tc>
          <w:tcPr>
            <w:tcW w:w="4774" w:type="dxa"/>
            <w:vAlign w:val="center"/>
          </w:tcPr>
          <w:p>
            <w:pPr>
              <w:jc w:val="left"/>
              <w:rPr>
                <w:rFonts w:ascii="宋体" w:hAnsi="宋体"/>
                <w:sz w:val="24"/>
                <w:szCs w:val="21"/>
              </w:rPr>
            </w:pPr>
            <w:r>
              <w:rPr>
                <w:rFonts w:hint="eastAsia" w:ascii="宋体" w:hAnsi="宋体"/>
                <w:sz w:val="24"/>
                <w:szCs w:val="21"/>
              </w:rPr>
              <w:t>发表在</w:t>
            </w:r>
            <w:r>
              <w:rPr>
                <w:rFonts w:ascii="宋体" w:hAnsi="宋体"/>
                <w:sz w:val="24"/>
                <w:szCs w:val="21"/>
              </w:rPr>
              <w:t>SCI</w:t>
            </w:r>
            <w:r>
              <w:rPr>
                <w:rFonts w:hint="eastAsia" w:ascii="宋体" w:hAnsi="宋体"/>
                <w:sz w:val="24"/>
                <w:szCs w:val="21"/>
              </w:rPr>
              <w:t>、EI、ISTP、SSCI、CSSCI、CSCD</w:t>
            </w:r>
            <w:r>
              <w:rPr>
                <w:rFonts w:ascii="宋体" w:hAnsi="宋体"/>
                <w:sz w:val="24"/>
                <w:szCs w:val="21"/>
              </w:rPr>
              <w:t>期刊</w:t>
            </w:r>
          </w:p>
        </w:tc>
        <w:tc>
          <w:tcPr>
            <w:tcW w:w="1410" w:type="dxa"/>
            <w:vAlign w:val="center"/>
          </w:tcPr>
          <w:p>
            <w:pPr>
              <w:jc w:val="center"/>
              <w:rPr>
                <w:rFonts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Merge w:val="continue"/>
            <w:vAlign w:val="center"/>
          </w:tcPr>
          <w:p>
            <w:pPr>
              <w:jc w:val="center"/>
              <w:rPr>
                <w:rFonts w:ascii="宋体" w:hAnsi="宋体"/>
                <w:sz w:val="24"/>
                <w:szCs w:val="24"/>
              </w:rPr>
            </w:pPr>
          </w:p>
        </w:tc>
        <w:tc>
          <w:tcPr>
            <w:tcW w:w="4774" w:type="dxa"/>
            <w:vAlign w:val="center"/>
          </w:tcPr>
          <w:p>
            <w:pPr>
              <w:jc w:val="left"/>
              <w:rPr>
                <w:rFonts w:ascii="宋体" w:hAnsi="宋体"/>
                <w:sz w:val="24"/>
                <w:szCs w:val="21"/>
              </w:rPr>
            </w:pPr>
            <w:r>
              <w:rPr>
                <w:rFonts w:hint="eastAsia" w:ascii="宋体" w:hAnsi="宋体"/>
                <w:sz w:val="24"/>
                <w:szCs w:val="21"/>
              </w:rPr>
              <w:t>发表在核心期刊</w:t>
            </w:r>
          </w:p>
        </w:tc>
        <w:tc>
          <w:tcPr>
            <w:tcW w:w="1410" w:type="dxa"/>
            <w:vAlign w:val="center"/>
          </w:tcPr>
          <w:p>
            <w:pPr>
              <w:jc w:val="center"/>
              <w:rPr>
                <w:rFonts w:ascii="宋体" w:hAnsi="宋体"/>
                <w:sz w:val="24"/>
                <w:szCs w:val="24"/>
              </w:rPr>
            </w:pPr>
            <w:r>
              <w:rPr>
                <w:rFonts w:hint="eastAsia" w:ascii="宋体" w:hAnsi="宋体"/>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Merge w:val="continue"/>
            <w:vAlign w:val="center"/>
          </w:tcPr>
          <w:p>
            <w:pPr>
              <w:jc w:val="center"/>
              <w:rPr>
                <w:rFonts w:ascii="宋体" w:hAnsi="宋体"/>
                <w:sz w:val="24"/>
                <w:szCs w:val="24"/>
              </w:rPr>
            </w:pPr>
          </w:p>
        </w:tc>
        <w:tc>
          <w:tcPr>
            <w:tcW w:w="4774" w:type="dxa"/>
            <w:vAlign w:val="center"/>
          </w:tcPr>
          <w:p>
            <w:pPr>
              <w:jc w:val="left"/>
              <w:rPr>
                <w:rFonts w:ascii="宋体" w:hAnsi="宋体"/>
                <w:sz w:val="24"/>
                <w:szCs w:val="21"/>
              </w:rPr>
            </w:pPr>
            <w:r>
              <w:rPr>
                <w:rFonts w:hint="eastAsia" w:ascii="宋体" w:hAnsi="宋体"/>
                <w:sz w:val="24"/>
                <w:szCs w:val="21"/>
              </w:rPr>
              <w:t>发表在省级及以上刊物</w:t>
            </w:r>
          </w:p>
        </w:tc>
        <w:tc>
          <w:tcPr>
            <w:tcW w:w="1410" w:type="dxa"/>
            <w:vAlign w:val="center"/>
          </w:tcPr>
          <w:p>
            <w:pPr>
              <w:jc w:val="center"/>
              <w:rPr>
                <w:rFonts w:ascii="宋体" w:hAnsi="宋体"/>
                <w:sz w:val="24"/>
                <w:szCs w:val="24"/>
              </w:rPr>
            </w:pPr>
            <w:r>
              <w:rPr>
                <w:rFonts w:hint="eastAsia" w:ascii="宋体" w:hAnsi="宋体"/>
                <w:sz w:val="24"/>
                <w:szCs w:val="24"/>
              </w:rPr>
              <w:t>8</w:t>
            </w:r>
          </w:p>
        </w:tc>
      </w:tr>
    </w:tbl>
    <w:p>
      <w:pPr>
        <w:spacing w:line="360" w:lineRule="auto"/>
        <w:rPr>
          <w:rFonts w:ascii="宋体" w:hAnsi="宋体"/>
          <w:sz w:val="24"/>
          <w:szCs w:val="21"/>
        </w:rPr>
      </w:pPr>
      <w:r>
        <w:rPr>
          <w:rFonts w:hint="eastAsia" w:ascii="宋体" w:hAnsi="宋体"/>
          <w:sz w:val="24"/>
          <w:szCs w:val="21"/>
        </w:rPr>
        <w:t>说明：</w:t>
      </w:r>
      <w:r>
        <w:rPr>
          <w:rFonts w:ascii="宋体" w:hAnsi="宋体"/>
          <w:sz w:val="24"/>
          <w:szCs w:val="21"/>
        </w:rPr>
        <w:fldChar w:fldCharType="begin"/>
      </w:r>
      <w:r>
        <w:rPr>
          <w:rFonts w:ascii="宋体" w:hAnsi="宋体"/>
          <w:sz w:val="24"/>
          <w:szCs w:val="21"/>
        </w:rPr>
        <w:instrText xml:space="preserve"> </w:instrText>
      </w:r>
      <w:r>
        <w:rPr>
          <w:rFonts w:hint="eastAsia" w:ascii="宋体" w:hAnsi="宋体"/>
          <w:sz w:val="24"/>
          <w:szCs w:val="21"/>
        </w:rPr>
        <w:instrText xml:space="preserve">= 1 \* GB3</w:instrText>
      </w:r>
      <w:r>
        <w:rPr>
          <w:rFonts w:ascii="宋体" w:hAnsi="宋体"/>
          <w:sz w:val="24"/>
          <w:szCs w:val="21"/>
        </w:rPr>
        <w:instrText xml:space="preserve"> </w:instrText>
      </w:r>
      <w:r>
        <w:rPr>
          <w:rFonts w:ascii="宋体" w:hAnsi="宋体"/>
          <w:sz w:val="24"/>
          <w:szCs w:val="21"/>
        </w:rPr>
        <w:fldChar w:fldCharType="separate"/>
      </w:r>
      <w:r>
        <w:rPr>
          <w:rFonts w:hint="eastAsia" w:ascii="宋体" w:hAnsi="宋体"/>
          <w:sz w:val="24"/>
          <w:szCs w:val="21"/>
        </w:rPr>
        <w:t>①</w:t>
      </w:r>
      <w:r>
        <w:rPr>
          <w:rFonts w:ascii="宋体" w:hAnsi="宋体"/>
          <w:sz w:val="24"/>
          <w:szCs w:val="21"/>
        </w:rPr>
        <w:fldChar w:fldCharType="end"/>
      </w:r>
      <w:r>
        <w:rPr>
          <w:rFonts w:hint="eastAsia" w:ascii="宋体" w:hAnsi="宋体"/>
          <w:sz w:val="24"/>
          <w:szCs w:val="21"/>
        </w:rPr>
        <w:t>学术论文须在</w:t>
      </w:r>
      <w:r>
        <w:rPr>
          <w:rFonts w:ascii="宋体" w:hAnsi="宋体"/>
          <w:sz w:val="24"/>
          <w:szCs w:val="21"/>
        </w:rPr>
        <w:t>“</w:t>
      </w:r>
      <w:r>
        <w:rPr>
          <w:rFonts w:hint="eastAsia" w:ascii="宋体" w:hAnsi="宋体"/>
          <w:sz w:val="24"/>
          <w:szCs w:val="21"/>
        </w:rPr>
        <w:t>中国期刊网</w:t>
      </w:r>
      <w:r>
        <w:rPr>
          <w:rFonts w:ascii="宋体" w:hAnsi="宋体"/>
          <w:sz w:val="24"/>
          <w:szCs w:val="21"/>
        </w:rPr>
        <w:t>”</w:t>
      </w:r>
      <w:r>
        <w:rPr>
          <w:rFonts w:hint="eastAsia" w:ascii="宋体" w:hAnsi="宋体"/>
          <w:sz w:val="24"/>
          <w:szCs w:val="21"/>
        </w:rPr>
        <w:t>（中国知网）等论文数据库中查证到。</w:t>
      </w:r>
    </w:p>
    <w:p>
      <w:pPr>
        <w:spacing w:line="360" w:lineRule="auto"/>
        <w:ind w:firstLine="720" w:firstLineChars="300"/>
        <w:rPr>
          <w:rFonts w:ascii="宋体" w:hAnsi="宋体"/>
          <w:sz w:val="24"/>
          <w:szCs w:val="21"/>
        </w:rPr>
      </w:pPr>
      <w:r>
        <w:rPr>
          <w:rFonts w:ascii="宋体" w:hAnsi="宋体"/>
          <w:sz w:val="24"/>
          <w:szCs w:val="21"/>
        </w:rPr>
        <w:fldChar w:fldCharType="begin"/>
      </w:r>
      <w:r>
        <w:rPr>
          <w:rFonts w:ascii="宋体" w:hAnsi="宋体"/>
          <w:sz w:val="24"/>
          <w:szCs w:val="21"/>
        </w:rPr>
        <w:instrText xml:space="preserve"> </w:instrText>
      </w:r>
      <w:r>
        <w:rPr>
          <w:rFonts w:hint="eastAsia" w:ascii="宋体" w:hAnsi="宋体"/>
          <w:sz w:val="24"/>
          <w:szCs w:val="21"/>
        </w:rPr>
        <w:instrText xml:space="preserve">= 2 \* GB3</w:instrText>
      </w:r>
      <w:r>
        <w:rPr>
          <w:rFonts w:ascii="宋体" w:hAnsi="宋体"/>
          <w:sz w:val="24"/>
          <w:szCs w:val="21"/>
        </w:rPr>
        <w:instrText xml:space="preserve"> </w:instrText>
      </w:r>
      <w:r>
        <w:rPr>
          <w:rFonts w:ascii="宋体" w:hAnsi="宋体"/>
          <w:sz w:val="24"/>
          <w:szCs w:val="21"/>
        </w:rPr>
        <w:fldChar w:fldCharType="separate"/>
      </w:r>
      <w:r>
        <w:rPr>
          <w:rFonts w:hint="eastAsia" w:ascii="宋体" w:hAnsi="宋体"/>
          <w:sz w:val="24"/>
          <w:szCs w:val="21"/>
        </w:rPr>
        <w:t>②</w:t>
      </w:r>
      <w:r>
        <w:rPr>
          <w:rFonts w:ascii="宋体" w:hAnsi="宋体"/>
          <w:sz w:val="24"/>
          <w:szCs w:val="21"/>
        </w:rPr>
        <w:fldChar w:fldCharType="end"/>
      </w:r>
      <w:r>
        <w:rPr>
          <w:rFonts w:hint="eastAsia" w:ascii="宋体" w:hAnsi="宋体"/>
          <w:sz w:val="24"/>
          <w:szCs w:val="21"/>
        </w:rPr>
        <w:t>省级及以上刊物指省级以上有关部门主办的公开出版的学术刊物和高等学校主办的公开出版的学报（须有</w:t>
      </w:r>
      <w:r>
        <w:rPr>
          <w:rFonts w:ascii="宋体" w:hAnsi="宋体"/>
          <w:sz w:val="24"/>
          <w:szCs w:val="21"/>
        </w:rPr>
        <w:t>ISSN</w:t>
      </w:r>
      <w:r>
        <w:rPr>
          <w:rFonts w:hint="eastAsia" w:ascii="宋体" w:hAnsi="宋体"/>
          <w:sz w:val="24"/>
          <w:szCs w:val="21"/>
        </w:rPr>
        <w:t>或</w:t>
      </w:r>
      <w:r>
        <w:rPr>
          <w:rFonts w:ascii="宋体" w:hAnsi="宋体"/>
          <w:sz w:val="24"/>
          <w:szCs w:val="21"/>
        </w:rPr>
        <w:t>CN</w:t>
      </w:r>
      <w:r>
        <w:rPr>
          <w:rFonts w:hint="eastAsia" w:ascii="宋体" w:hAnsi="宋体"/>
          <w:sz w:val="24"/>
          <w:szCs w:val="21"/>
        </w:rPr>
        <w:t>刊号）。</w:t>
      </w:r>
    </w:p>
    <w:p>
      <w:pPr>
        <w:spacing w:line="360" w:lineRule="auto"/>
        <w:ind w:firstLine="720" w:firstLineChars="300"/>
        <w:rPr>
          <w:rFonts w:ascii="宋体" w:hAnsi="宋体"/>
          <w:sz w:val="24"/>
          <w:szCs w:val="21"/>
        </w:rPr>
      </w:pPr>
      <w:r>
        <w:rPr>
          <w:rFonts w:ascii="宋体" w:hAnsi="宋体"/>
          <w:sz w:val="24"/>
          <w:szCs w:val="21"/>
        </w:rPr>
        <w:fldChar w:fldCharType="begin"/>
      </w:r>
      <w:r>
        <w:rPr>
          <w:rFonts w:ascii="宋体" w:hAnsi="宋体"/>
          <w:sz w:val="24"/>
          <w:szCs w:val="21"/>
        </w:rPr>
        <w:instrText xml:space="preserve"> </w:instrText>
      </w:r>
      <w:r>
        <w:rPr>
          <w:rFonts w:hint="eastAsia" w:ascii="宋体" w:hAnsi="宋体"/>
          <w:sz w:val="24"/>
          <w:szCs w:val="21"/>
        </w:rPr>
        <w:instrText xml:space="preserve">= 3 \* GB3</w:instrText>
      </w:r>
      <w:r>
        <w:rPr>
          <w:rFonts w:ascii="宋体" w:hAnsi="宋体"/>
          <w:sz w:val="24"/>
          <w:szCs w:val="21"/>
        </w:rPr>
        <w:instrText xml:space="preserve"> </w:instrText>
      </w:r>
      <w:r>
        <w:rPr>
          <w:rFonts w:ascii="宋体" w:hAnsi="宋体"/>
          <w:sz w:val="24"/>
          <w:szCs w:val="21"/>
        </w:rPr>
        <w:fldChar w:fldCharType="separate"/>
      </w:r>
      <w:r>
        <w:rPr>
          <w:rFonts w:hint="eastAsia" w:ascii="宋体" w:hAnsi="宋体"/>
          <w:sz w:val="24"/>
          <w:szCs w:val="21"/>
        </w:rPr>
        <w:t>③</w:t>
      </w:r>
      <w:r>
        <w:rPr>
          <w:rFonts w:ascii="宋体" w:hAnsi="宋体"/>
          <w:sz w:val="24"/>
          <w:szCs w:val="21"/>
        </w:rPr>
        <w:fldChar w:fldCharType="end"/>
      </w:r>
      <w:r>
        <w:rPr>
          <w:rFonts w:hint="eastAsia" w:ascii="宋体" w:hAnsi="宋体"/>
          <w:sz w:val="24"/>
          <w:szCs w:val="21"/>
        </w:rPr>
        <w:t>核心期刊一般指论文发表时北京大学编撰的《中文核心期刊要目总览》所列的期刊。</w:t>
      </w:r>
    </w:p>
    <w:p>
      <w:pPr>
        <w:spacing w:line="360" w:lineRule="auto"/>
        <w:ind w:firstLine="482" w:firstLineChars="200"/>
        <w:rPr>
          <w:rFonts w:ascii="宋体" w:hAnsi="宋体"/>
          <w:sz w:val="24"/>
          <w:szCs w:val="21"/>
        </w:rPr>
      </w:pPr>
      <w:r>
        <w:rPr>
          <w:rFonts w:hint="eastAsia" w:ascii="宋体" w:hAnsi="宋体"/>
          <w:b/>
          <w:sz w:val="24"/>
          <w:szCs w:val="21"/>
        </w:rPr>
        <w:t>4．课程免修</w:t>
      </w:r>
      <w:r>
        <w:rPr>
          <w:rFonts w:hint="eastAsia" w:ascii="宋体" w:hAnsi="宋体"/>
          <w:sz w:val="24"/>
          <w:szCs w:val="21"/>
        </w:rPr>
        <w:t>：学生所参加的创新创业活动取得优异成绩或高水平成果，可申请相关课程成绩免修。</w:t>
      </w:r>
    </w:p>
    <w:p>
      <w:pPr>
        <w:spacing w:line="360" w:lineRule="auto"/>
        <w:ind w:firstLine="480" w:firstLineChars="200"/>
        <w:rPr>
          <w:rFonts w:ascii="宋体" w:hAnsi="宋体"/>
          <w:sz w:val="24"/>
          <w:szCs w:val="21"/>
        </w:rPr>
      </w:pPr>
      <w:r>
        <w:rPr>
          <w:rFonts w:hint="eastAsia" w:ascii="宋体" w:hAnsi="宋体"/>
          <w:sz w:val="24"/>
          <w:szCs w:val="21"/>
        </w:rPr>
        <w:t>（1）学生参加竞赛取得优异成绩，或以第一作者申请发明专利、著作权、实用新型专利，或以第一作者在国内外高水平学术期刊上公开发表学术论文等，均可申请相对应的相关</w:t>
      </w:r>
      <w:r>
        <w:rPr>
          <w:rFonts w:ascii="宋体" w:hAnsi="宋体"/>
          <w:sz w:val="24"/>
          <w:szCs w:val="21"/>
        </w:rPr>
        <w:t>课程</w:t>
      </w:r>
      <w:r>
        <w:rPr>
          <w:rFonts w:hint="eastAsia" w:ascii="宋体" w:hAnsi="宋体"/>
          <w:sz w:val="24"/>
          <w:szCs w:val="21"/>
        </w:rPr>
        <w:t>免修。可申请课程免修的竞赛获奖等级以及学生获得成果级别参照上一条“课程加分”中的内容。</w:t>
      </w:r>
    </w:p>
    <w:p>
      <w:pPr>
        <w:spacing w:line="360" w:lineRule="auto"/>
        <w:ind w:firstLine="480" w:firstLineChars="200"/>
        <w:rPr>
          <w:rFonts w:ascii="宋体" w:hAnsi="宋体"/>
          <w:sz w:val="24"/>
          <w:szCs w:val="21"/>
        </w:rPr>
      </w:pPr>
      <w:r>
        <w:rPr>
          <w:rFonts w:hint="eastAsia" w:ascii="宋体" w:hAnsi="宋体"/>
          <w:sz w:val="24"/>
          <w:szCs w:val="21"/>
        </w:rPr>
        <w:t>（2）学生申请免修的课程由学院组织评定记载课程分数，但最高不能超过95分。</w:t>
      </w:r>
    </w:p>
    <w:p>
      <w:pPr>
        <w:spacing w:line="360" w:lineRule="auto"/>
        <w:ind w:firstLine="482" w:firstLineChars="200"/>
        <w:rPr>
          <w:rFonts w:ascii="宋体" w:hAnsi="宋体"/>
          <w:b/>
          <w:sz w:val="24"/>
          <w:szCs w:val="21"/>
        </w:rPr>
      </w:pPr>
      <w:r>
        <w:rPr>
          <w:rFonts w:hint="eastAsia" w:ascii="宋体" w:hAnsi="宋体"/>
          <w:b/>
          <w:sz w:val="24"/>
          <w:szCs w:val="21"/>
        </w:rPr>
        <w:t>三、实施流程</w:t>
      </w:r>
    </w:p>
    <w:p>
      <w:pPr>
        <w:spacing w:line="360" w:lineRule="auto"/>
        <w:ind w:firstLine="482" w:firstLineChars="200"/>
        <w:rPr>
          <w:rFonts w:ascii="宋体" w:hAnsi="宋体"/>
          <w:sz w:val="24"/>
          <w:szCs w:val="21"/>
        </w:rPr>
      </w:pPr>
      <w:r>
        <w:rPr>
          <w:rFonts w:hint="eastAsia" w:ascii="宋体" w:hAnsi="宋体"/>
          <w:b/>
          <w:sz w:val="24"/>
          <w:szCs w:val="21"/>
        </w:rPr>
        <w:t>1．学生申请</w:t>
      </w:r>
      <w:r>
        <w:rPr>
          <w:rFonts w:hint="eastAsia" w:ascii="宋体" w:hAnsi="宋体"/>
          <w:sz w:val="24"/>
          <w:szCs w:val="21"/>
        </w:rPr>
        <w:t>：学生申请课程免听、加分、免修，均需向所在学院递交《三江学院大学生创新创业活动置换课程申请表》。</w:t>
      </w:r>
    </w:p>
    <w:p>
      <w:pPr>
        <w:spacing w:line="360" w:lineRule="auto"/>
        <w:ind w:firstLine="482" w:firstLineChars="200"/>
        <w:rPr>
          <w:rFonts w:ascii="宋体" w:hAnsi="宋体"/>
          <w:sz w:val="24"/>
          <w:szCs w:val="21"/>
        </w:rPr>
      </w:pPr>
      <w:r>
        <w:rPr>
          <w:rFonts w:hint="eastAsia" w:ascii="宋体" w:hAnsi="宋体"/>
          <w:b/>
          <w:sz w:val="24"/>
          <w:szCs w:val="21"/>
        </w:rPr>
        <w:t>2．学院初审及申请材料公示</w:t>
      </w:r>
      <w:r>
        <w:rPr>
          <w:rFonts w:hint="eastAsia" w:ascii="宋体" w:hAnsi="宋体"/>
          <w:sz w:val="24"/>
          <w:szCs w:val="21"/>
        </w:rPr>
        <w:t>：学院受理学生申请后，必须对学生所提交的申请材料进行严格审核，并将申请材料公示在校园网上。</w:t>
      </w:r>
    </w:p>
    <w:p>
      <w:pPr>
        <w:spacing w:line="360" w:lineRule="auto"/>
        <w:ind w:firstLine="482" w:firstLineChars="200"/>
        <w:rPr>
          <w:rFonts w:ascii="宋体" w:hAnsi="宋体"/>
          <w:sz w:val="24"/>
          <w:szCs w:val="21"/>
        </w:rPr>
      </w:pPr>
      <w:r>
        <w:rPr>
          <w:rFonts w:hint="eastAsia" w:ascii="宋体" w:hAnsi="宋体"/>
          <w:b/>
          <w:sz w:val="24"/>
          <w:szCs w:val="21"/>
        </w:rPr>
        <w:t>3．公开答辩</w:t>
      </w:r>
      <w:r>
        <w:rPr>
          <w:rFonts w:hint="eastAsia" w:ascii="宋体" w:hAnsi="宋体"/>
          <w:sz w:val="24"/>
          <w:szCs w:val="21"/>
        </w:rPr>
        <w:t>：申请材料经公示无异议后，学生必须参加由院大学生创新创业活动领导小组组织的公开答辩；答辩结果由学院统一报教务处审核、公示。</w:t>
      </w:r>
    </w:p>
    <w:p>
      <w:pPr>
        <w:spacing w:line="360" w:lineRule="auto"/>
        <w:ind w:firstLine="482" w:firstLineChars="200"/>
        <w:rPr>
          <w:rFonts w:ascii="宋体" w:hAnsi="宋体"/>
          <w:sz w:val="24"/>
          <w:szCs w:val="21"/>
        </w:rPr>
      </w:pPr>
      <w:r>
        <w:rPr>
          <w:rFonts w:hint="eastAsia" w:ascii="宋体" w:hAnsi="宋体"/>
          <w:b/>
          <w:sz w:val="24"/>
          <w:szCs w:val="21"/>
        </w:rPr>
        <w:t>4．结果公示</w:t>
      </w:r>
      <w:r>
        <w:rPr>
          <w:rFonts w:hint="eastAsia" w:ascii="宋体" w:hAnsi="宋体"/>
          <w:sz w:val="24"/>
          <w:szCs w:val="21"/>
        </w:rPr>
        <w:t>：教务处将公开答辩的结果公示在校园网上。</w:t>
      </w:r>
    </w:p>
    <w:p>
      <w:pPr>
        <w:spacing w:line="360" w:lineRule="auto"/>
        <w:ind w:firstLine="482" w:firstLineChars="200"/>
        <w:rPr>
          <w:rFonts w:ascii="宋体" w:hAnsi="宋体"/>
          <w:sz w:val="24"/>
          <w:szCs w:val="21"/>
        </w:rPr>
      </w:pPr>
      <w:r>
        <w:rPr>
          <w:rFonts w:hint="eastAsia" w:ascii="宋体" w:hAnsi="宋体"/>
          <w:b/>
          <w:sz w:val="24"/>
          <w:szCs w:val="21"/>
        </w:rPr>
        <w:t>5．其他说明</w:t>
      </w:r>
      <w:r>
        <w:rPr>
          <w:rFonts w:hint="eastAsia" w:ascii="宋体" w:hAnsi="宋体"/>
          <w:sz w:val="24"/>
          <w:szCs w:val="21"/>
        </w:rPr>
        <w:t>：</w:t>
      </w:r>
    </w:p>
    <w:p>
      <w:pPr>
        <w:pStyle w:val="2"/>
        <w:spacing w:before="110" w:line="345" w:lineRule="auto"/>
        <w:ind w:right="112" w:firstLine="420"/>
        <w:jc w:val="both"/>
        <w:rPr>
          <w:rFonts w:eastAsiaTheme="minorEastAsia" w:cstheme="minorBidi"/>
          <w:kern w:val="2"/>
          <w:sz w:val="24"/>
          <w:szCs w:val="21"/>
          <w:lang w:eastAsia="zh-CN"/>
        </w:rPr>
      </w:pPr>
      <w:r>
        <w:rPr>
          <w:rFonts w:eastAsiaTheme="minorEastAsia" w:cstheme="minorBidi"/>
          <w:kern w:val="2"/>
          <w:sz w:val="24"/>
          <w:szCs w:val="21"/>
          <w:lang w:eastAsia="zh-CN"/>
        </w:rPr>
        <w:t>（1）学生参加创新创业活动取得优异成绩或高水平成果，可选择申请课程加分或课程免修中的一项，如学生申请课程加分获批准后， 就不能再申请课程免修。学生申请课程加分或课程免修后，不再重复获得</w:t>
      </w:r>
      <w:r>
        <w:rPr>
          <w:rFonts w:hint="eastAsia" w:eastAsiaTheme="minorEastAsia" w:cstheme="minorBidi"/>
          <w:kern w:val="2"/>
          <w:sz w:val="24"/>
          <w:szCs w:val="21"/>
          <w:lang w:eastAsia="zh-CN"/>
        </w:rPr>
        <w:t>大学生创新创业教育学分</w:t>
      </w:r>
      <w:r>
        <w:rPr>
          <w:rFonts w:eastAsiaTheme="minorEastAsia" w:cstheme="minorBidi"/>
          <w:kern w:val="2"/>
          <w:sz w:val="24"/>
          <w:szCs w:val="21"/>
          <w:lang w:eastAsia="zh-CN"/>
        </w:rPr>
        <w:t>。</w:t>
      </w:r>
    </w:p>
    <w:p>
      <w:pPr>
        <w:pStyle w:val="2"/>
        <w:spacing w:line="345" w:lineRule="auto"/>
        <w:ind w:right="112" w:firstLine="385"/>
        <w:jc w:val="both"/>
        <w:rPr>
          <w:rFonts w:eastAsiaTheme="minorEastAsia" w:cstheme="minorBidi"/>
          <w:kern w:val="2"/>
          <w:sz w:val="24"/>
          <w:szCs w:val="21"/>
          <w:lang w:eastAsia="zh-CN"/>
        </w:rPr>
      </w:pPr>
      <w:r>
        <w:rPr>
          <w:rFonts w:eastAsiaTheme="minorEastAsia" w:cstheme="minorBidi"/>
          <w:kern w:val="2"/>
          <w:sz w:val="24"/>
          <w:szCs w:val="21"/>
          <w:lang w:eastAsia="zh-CN"/>
        </w:rPr>
        <w:t>（2）教务处于每学期</w:t>
      </w:r>
      <w:r>
        <w:rPr>
          <w:rFonts w:hint="eastAsia" w:eastAsiaTheme="minorEastAsia" w:cstheme="minorBidi"/>
          <w:kern w:val="2"/>
          <w:sz w:val="24"/>
          <w:szCs w:val="21"/>
          <w:lang w:eastAsia="zh-CN"/>
        </w:rPr>
        <w:t>开学初</w:t>
      </w:r>
      <w:r>
        <w:rPr>
          <w:rFonts w:eastAsiaTheme="minorEastAsia" w:cstheme="minorBidi"/>
          <w:kern w:val="2"/>
          <w:sz w:val="24"/>
          <w:szCs w:val="21"/>
          <w:lang w:eastAsia="zh-CN"/>
        </w:rPr>
        <w:t>统一受理全校学生参加创新创业活动的课程免听、加分、免修申请并处理结束，记入教务管理系统。</w:t>
      </w:r>
    </w:p>
    <w:p>
      <w:pPr>
        <w:pStyle w:val="2"/>
        <w:spacing w:line="345" w:lineRule="auto"/>
        <w:ind w:firstLine="385"/>
        <w:rPr>
          <w:rFonts w:eastAsiaTheme="minorEastAsia" w:cstheme="minorBidi"/>
          <w:kern w:val="2"/>
          <w:sz w:val="24"/>
          <w:szCs w:val="21"/>
          <w:lang w:eastAsia="zh-CN"/>
        </w:rPr>
      </w:pPr>
      <w:r>
        <w:rPr>
          <w:rFonts w:eastAsiaTheme="minorEastAsia" w:cstheme="minorBidi"/>
          <w:kern w:val="2"/>
          <w:sz w:val="24"/>
          <w:szCs w:val="21"/>
          <w:lang w:eastAsia="zh-CN"/>
        </w:rPr>
        <w:t>（3）学生申请缓考，向所在学院递交《三江学院缓考申请表》，并按办理缓考的程序完成所有手续。</w:t>
      </w:r>
    </w:p>
    <w:p>
      <w:pPr>
        <w:pStyle w:val="2"/>
        <w:spacing w:line="345" w:lineRule="auto"/>
        <w:ind w:firstLine="385"/>
        <w:rPr>
          <w:rFonts w:eastAsiaTheme="minorEastAsia" w:cstheme="minorBidi"/>
          <w:kern w:val="2"/>
          <w:sz w:val="24"/>
          <w:szCs w:val="21"/>
          <w:lang w:eastAsia="zh-CN"/>
        </w:rPr>
      </w:pPr>
      <w:r>
        <w:rPr>
          <w:rFonts w:hint="eastAsia" w:eastAsiaTheme="minorEastAsia" w:cstheme="minorBidi"/>
          <w:kern w:val="2"/>
          <w:sz w:val="24"/>
          <w:szCs w:val="21"/>
          <w:lang w:eastAsia="zh-CN"/>
        </w:rPr>
        <w:t>（4）课程加分和课程免修适用范围为选修课或实践类课程。</w:t>
      </w:r>
    </w:p>
    <w:p>
      <w:pPr>
        <w:pStyle w:val="2"/>
        <w:spacing w:line="345" w:lineRule="auto"/>
        <w:ind w:firstLine="420"/>
        <w:rPr>
          <w:rFonts w:eastAsiaTheme="minorEastAsia" w:cstheme="minorBidi"/>
          <w:kern w:val="2"/>
          <w:sz w:val="24"/>
          <w:szCs w:val="21"/>
          <w:lang w:eastAsia="zh-CN"/>
        </w:rPr>
      </w:pPr>
      <w:r>
        <w:rPr>
          <w:rFonts w:hint="eastAsia" w:eastAsiaTheme="minorEastAsia" w:cstheme="minorBidi"/>
          <w:kern w:val="2"/>
          <w:sz w:val="24"/>
          <w:szCs w:val="21"/>
          <w:lang w:eastAsia="zh-CN"/>
        </w:rPr>
        <w:t>（5）参加</w:t>
      </w:r>
      <w:r>
        <w:rPr>
          <w:rFonts w:eastAsiaTheme="minorEastAsia" w:cstheme="minorBidi"/>
          <w:kern w:val="2"/>
          <w:sz w:val="24"/>
          <w:szCs w:val="21"/>
          <w:lang w:eastAsia="zh-CN"/>
        </w:rPr>
        <w:t>各类创新训练项目、创业训练项目和创业实践项目仅可申请相关课程的免听</w:t>
      </w:r>
      <w:r>
        <w:rPr>
          <w:rFonts w:hint="eastAsia" w:eastAsiaTheme="minorEastAsia" w:cstheme="minorBidi"/>
          <w:kern w:val="2"/>
          <w:sz w:val="24"/>
          <w:szCs w:val="21"/>
          <w:lang w:eastAsia="zh-CN"/>
        </w:rPr>
        <w:t>，</w:t>
      </w:r>
      <w:r>
        <w:rPr>
          <w:rFonts w:eastAsiaTheme="minorEastAsia" w:cstheme="minorBidi"/>
          <w:kern w:val="2"/>
          <w:sz w:val="24"/>
          <w:szCs w:val="21"/>
          <w:lang w:eastAsia="zh-CN"/>
        </w:rPr>
        <w:t>如在项目中取得优异成绩或高水平成果可申请相关课程的加分或免修</w:t>
      </w:r>
      <w:r>
        <w:rPr>
          <w:rFonts w:hint="eastAsia" w:eastAsiaTheme="minorEastAsia" w:cstheme="minorBidi"/>
          <w:kern w:val="2"/>
          <w:sz w:val="24"/>
          <w:szCs w:val="21"/>
          <w:lang w:eastAsia="zh-CN"/>
        </w:rPr>
        <w:t>。</w:t>
      </w:r>
    </w:p>
    <w:p>
      <w:pPr>
        <w:spacing w:line="360" w:lineRule="auto"/>
        <w:ind w:firstLine="482" w:firstLineChars="200"/>
        <w:rPr>
          <w:rFonts w:ascii="宋体" w:hAnsi="宋体"/>
          <w:b/>
          <w:sz w:val="24"/>
          <w:szCs w:val="21"/>
        </w:rPr>
      </w:pPr>
      <w:r>
        <w:rPr>
          <w:rFonts w:hint="eastAsia" w:ascii="宋体" w:hAnsi="宋体"/>
          <w:b/>
          <w:sz w:val="24"/>
          <w:szCs w:val="21"/>
        </w:rPr>
        <w:t>四、其他</w:t>
      </w:r>
    </w:p>
    <w:p>
      <w:pPr>
        <w:spacing w:line="360" w:lineRule="auto"/>
        <w:ind w:firstLine="482" w:firstLineChars="200"/>
        <w:rPr>
          <w:rFonts w:ascii="宋体" w:hAnsi="宋体"/>
          <w:b/>
          <w:sz w:val="24"/>
          <w:szCs w:val="21"/>
        </w:rPr>
      </w:pPr>
      <w:r>
        <w:rPr>
          <w:rFonts w:hint="eastAsia" w:ascii="宋体" w:hAnsi="宋体"/>
          <w:b/>
          <w:sz w:val="24"/>
          <w:szCs w:val="21"/>
        </w:rPr>
        <w:t>1.本办法自公布之日起执行，并适用于2015年1月1日以后的学生创新创业活动内容和成果。</w:t>
      </w:r>
    </w:p>
    <w:p>
      <w:pPr>
        <w:spacing w:line="360" w:lineRule="auto"/>
        <w:ind w:firstLine="482" w:firstLineChars="200"/>
        <w:rPr>
          <w:rFonts w:ascii="宋体" w:hAnsi="宋体"/>
          <w:b/>
          <w:sz w:val="24"/>
          <w:szCs w:val="21"/>
        </w:rPr>
      </w:pPr>
      <w:r>
        <w:rPr>
          <w:rFonts w:hint="eastAsia" w:ascii="宋体" w:hAnsi="宋体"/>
          <w:b/>
          <w:sz w:val="24"/>
          <w:szCs w:val="21"/>
        </w:rPr>
        <w:t>2.本办法由教务处、学生工作部、创新创业学院和团委共同负责解释。</w:t>
      </w:r>
    </w:p>
    <w:p>
      <w:pPr>
        <w:spacing w:line="360" w:lineRule="auto"/>
        <w:ind w:firstLine="482" w:firstLineChars="200"/>
        <w:rPr>
          <w:rFonts w:ascii="宋体" w:hAnsi="宋体"/>
          <w:b/>
          <w:sz w:val="24"/>
          <w:szCs w:val="21"/>
        </w:rPr>
      </w:pPr>
    </w:p>
    <w:p>
      <w:pPr>
        <w:spacing w:line="360" w:lineRule="auto"/>
        <w:ind w:firstLine="480" w:firstLineChars="200"/>
        <w:rPr>
          <w:rFonts w:ascii="宋体" w:hAnsi="宋体"/>
          <w:sz w:val="24"/>
          <w:szCs w:val="21"/>
        </w:rPr>
      </w:pPr>
    </w:p>
    <w:p>
      <w:pPr>
        <w:spacing w:line="360" w:lineRule="auto"/>
        <w:ind w:firstLine="480" w:firstLineChars="200"/>
        <w:rPr>
          <w:rFonts w:ascii="宋体" w:hAnsi="宋体"/>
          <w:sz w:val="24"/>
          <w:szCs w:val="21"/>
        </w:rPr>
      </w:pPr>
    </w:p>
    <w:p>
      <w:pPr>
        <w:spacing w:line="360" w:lineRule="auto"/>
        <w:rPr>
          <w:rFonts w:ascii="宋体" w:hAnsi="宋体"/>
          <w:sz w:val="24"/>
          <w:szCs w:val="21"/>
        </w:rPr>
      </w:pPr>
    </w:p>
    <w:p>
      <w:pPr>
        <w:spacing w:line="360" w:lineRule="auto"/>
        <w:rPr>
          <w:rFonts w:ascii="宋体" w:hAnsi="宋体"/>
          <w:sz w:val="24"/>
          <w:szCs w:val="21"/>
        </w:rPr>
      </w:pPr>
    </w:p>
    <w:p>
      <w:pPr>
        <w:spacing w:line="360" w:lineRule="auto"/>
        <w:rPr>
          <w:rFonts w:ascii="宋体" w:hAnsi="宋体"/>
          <w:sz w:val="24"/>
          <w:szCs w:val="21"/>
        </w:rPr>
      </w:pPr>
    </w:p>
    <w:p>
      <w:pPr>
        <w:spacing w:line="360" w:lineRule="auto"/>
        <w:rPr>
          <w:rFonts w:ascii="宋体" w:hAnsi="宋体"/>
          <w:sz w:val="24"/>
          <w:szCs w:val="21"/>
        </w:rPr>
      </w:pPr>
    </w:p>
    <w:p>
      <w:pPr>
        <w:spacing w:line="360" w:lineRule="auto"/>
        <w:rPr>
          <w:rFonts w:ascii="宋体" w:hAnsi="宋体"/>
          <w:sz w:val="24"/>
          <w:szCs w:val="21"/>
        </w:rPr>
      </w:pPr>
    </w:p>
    <w:p>
      <w:pPr>
        <w:spacing w:line="360" w:lineRule="auto"/>
        <w:rPr>
          <w:rFonts w:ascii="宋体" w:hAnsi="宋体"/>
          <w:sz w:val="24"/>
          <w:szCs w:val="21"/>
        </w:rPr>
      </w:pPr>
    </w:p>
    <w:sectPr>
      <w:pgSz w:w="11906" w:h="16838"/>
      <w:pgMar w:top="907" w:right="1797" w:bottom="90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066"/>
    <w:rsid w:val="0002566E"/>
    <w:rsid w:val="00042D48"/>
    <w:rsid w:val="000510CF"/>
    <w:rsid w:val="00060858"/>
    <w:rsid w:val="000768F7"/>
    <w:rsid w:val="0008207A"/>
    <w:rsid w:val="000C4292"/>
    <w:rsid w:val="000D15A6"/>
    <w:rsid w:val="000E7BD3"/>
    <w:rsid w:val="000F076D"/>
    <w:rsid w:val="000F19E7"/>
    <w:rsid w:val="00116A5A"/>
    <w:rsid w:val="00120A79"/>
    <w:rsid w:val="00120B3A"/>
    <w:rsid w:val="00121FED"/>
    <w:rsid w:val="001372FD"/>
    <w:rsid w:val="00143E1D"/>
    <w:rsid w:val="00152151"/>
    <w:rsid w:val="00162994"/>
    <w:rsid w:val="001629FC"/>
    <w:rsid w:val="00165619"/>
    <w:rsid w:val="0018469E"/>
    <w:rsid w:val="001A02CE"/>
    <w:rsid w:val="001A0558"/>
    <w:rsid w:val="001A69B8"/>
    <w:rsid w:val="001A78D5"/>
    <w:rsid w:val="001B0B01"/>
    <w:rsid w:val="001C427D"/>
    <w:rsid w:val="001C6139"/>
    <w:rsid w:val="001D2074"/>
    <w:rsid w:val="001D6D32"/>
    <w:rsid w:val="001E3BA7"/>
    <w:rsid w:val="00203609"/>
    <w:rsid w:val="00231773"/>
    <w:rsid w:val="00260CE0"/>
    <w:rsid w:val="00292CD8"/>
    <w:rsid w:val="002A3E87"/>
    <w:rsid w:val="002A46CF"/>
    <w:rsid w:val="002D1298"/>
    <w:rsid w:val="002D4231"/>
    <w:rsid w:val="002D6CF2"/>
    <w:rsid w:val="002E2FC0"/>
    <w:rsid w:val="002E34B0"/>
    <w:rsid w:val="002E36CF"/>
    <w:rsid w:val="002F2C87"/>
    <w:rsid w:val="00341ED4"/>
    <w:rsid w:val="00342194"/>
    <w:rsid w:val="00366E28"/>
    <w:rsid w:val="003738EE"/>
    <w:rsid w:val="00380DEF"/>
    <w:rsid w:val="00397945"/>
    <w:rsid w:val="003A631F"/>
    <w:rsid w:val="003B231F"/>
    <w:rsid w:val="003B2F47"/>
    <w:rsid w:val="003C42FB"/>
    <w:rsid w:val="003D3D0C"/>
    <w:rsid w:val="003E3A06"/>
    <w:rsid w:val="003E5585"/>
    <w:rsid w:val="003E5F67"/>
    <w:rsid w:val="0040268C"/>
    <w:rsid w:val="00404F31"/>
    <w:rsid w:val="0041467C"/>
    <w:rsid w:val="00417EEE"/>
    <w:rsid w:val="004215B4"/>
    <w:rsid w:val="00452AE7"/>
    <w:rsid w:val="00463140"/>
    <w:rsid w:val="0047337F"/>
    <w:rsid w:val="00482AAD"/>
    <w:rsid w:val="00492736"/>
    <w:rsid w:val="0049693A"/>
    <w:rsid w:val="004A4D83"/>
    <w:rsid w:val="004B4755"/>
    <w:rsid w:val="004B5103"/>
    <w:rsid w:val="004C21F6"/>
    <w:rsid w:val="004D556B"/>
    <w:rsid w:val="0050099E"/>
    <w:rsid w:val="00502BBA"/>
    <w:rsid w:val="00502F76"/>
    <w:rsid w:val="00513E26"/>
    <w:rsid w:val="00522B85"/>
    <w:rsid w:val="0052579B"/>
    <w:rsid w:val="00547972"/>
    <w:rsid w:val="00555225"/>
    <w:rsid w:val="0056010C"/>
    <w:rsid w:val="00561674"/>
    <w:rsid w:val="005715EA"/>
    <w:rsid w:val="0057170B"/>
    <w:rsid w:val="00581C57"/>
    <w:rsid w:val="00583543"/>
    <w:rsid w:val="00583560"/>
    <w:rsid w:val="0058540B"/>
    <w:rsid w:val="005959A0"/>
    <w:rsid w:val="005A2C8A"/>
    <w:rsid w:val="005C6EE6"/>
    <w:rsid w:val="005D1347"/>
    <w:rsid w:val="005E38BB"/>
    <w:rsid w:val="005F0549"/>
    <w:rsid w:val="005F0F15"/>
    <w:rsid w:val="00610431"/>
    <w:rsid w:val="006113C5"/>
    <w:rsid w:val="006333A4"/>
    <w:rsid w:val="00643893"/>
    <w:rsid w:val="00652274"/>
    <w:rsid w:val="00655BBC"/>
    <w:rsid w:val="00664DA2"/>
    <w:rsid w:val="006651EB"/>
    <w:rsid w:val="00671D5C"/>
    <w:rsid w:val="00685149"/>
    <w:rsid w:val="00692429"/>
    <w:rsid w:val="006A0B86"/>
    <w:rsid w:val="006A1E49"/>
    <w:rsid w:val="006A6629"/>
    <w:rsid w:val="006B0B4B"/>
    <w:rsid w:val="006B642D"/>
    <w:rsid w:val="006C22DD"/>
    <w:rsid w:val="006C6965"/>
    <w:rsid w:val="006D109A"/>
    <w:rsid w:val="006D1DD9"/>
    <w:rsid w:val="006D65B4"/>
    <w:rsid w:val="006E2F1C"/>
    <w:rsid w:val="00700BBE"/>
    <w:rsid w:val="00706586"/>
    <w:rsid w:val="007115BA"/>
    <w:rsid w:val="00723FAD"/>
    <w:rsid w:val="00731286"/>
    <w:rsid w:val="0074245F"/>
    <w:rsid w:val="00752EC8"/>
    <w:rsid w:val="00754F95"/>
    <w:rsid w:val="00765F4E"/>
    <w:rsid w:val="00770E31"/>
    <w:rsid w:val="00776A49"/>
    <w:rsid w:val="0078308C"/>
    <w:rsid w:val="00797178"/>
    <w:rsid w:val="007A110A"/>
    <w:rsid w:val="007B2066"/>
    <w:rsid w:val="007C1638"/>
    <w:rsid w:val="007C5F0E"/>
    <w:rsid w:val="007D7976"/>
    <w:rsid w:val="007E103A"/>
    <w:rsid w:val="007E12E2"/>
    <w:rsid w:val="007E180C"/>
    <w:rsid w:val="007E49F0"/>
    <w:rsid w:val="008059AA"/>
    <w:rsid w:val="0081072C"/>
    <w:rsid w:val="00816D33"/>
    <w:rsid w:val="00824809"/>
    <w:rsid w:val="008249EA"/>
    <w:rsid w:val="00832E07"/>
    <w:rsid w:val="00833475"/>
    <w:rsid w:val="00844E1C"/>
    <w:rsid w:val="008461AF"/>
    <w:rsid w:val="00851DEA"/>
    <w:rsid w:val="008529A5"/>
    <w:rsid w:val="0085711C"/>
    <w:rsid w:val="008616E8"/>
    <w:rsid w:val="008631EC"/>
    <w:rsid w:val="0087074B"/>
    <w:rsid w:val="008A29AB"/>
    <w:rsid w:val="008B1111"/>
    <w:rsid w:val="008E0598"/>
    <w:rsid w:val="008E0DFA"/>
    <w:rsid w:val="00903013"/>
    <w:rsid w:val="009221CF"/>
    <w:rsid w:val="0094029B"/>
    <w:rsid w:val="00945BC7"/>
    <w:rsid w:val="009618AE"/>
    <w:rsid w:val="009654C5"/>
    <w:rsid w:val="00967273"/>
    <w:rsid w:val="0097183D"/>
    <w:rsid w:val="00972418"/>
    <w:rsid w:val="009739B8"/>
    <w:rsid w:val="00974992"/>
    <w:rsid w:val="009751AD"/>
    <w:rsid w:val="00985C90"/>
    <w:rsid w:val="00990C31"/>
    <w:rsid w:val="009D0CE9"/>
    <w:rsid w:val="00A24A43"/>
    <w:rsid w:val="00A27345"/>
    <w:rsid w:val="00A37E97"/>
    <w:rsid w:val="00A5621F"/>
    <w:rsid w:val="00A6084C"/>
    <w:rsid w:val="00A66829"/>
    <w:rsid w:val="00A71EB7"/>
    <w:rsid w:val="00A7285C"/>
    <w:rsid w:val="00A74512"/>
    <w:rsid w:val="00A83D53"/>
    <w:rsid w:val="00A84963"/>
    <w:rsid w:val="00A94A76"/>
    <w:rsid w:val="00AB0F6A"/>
    <w:rsid w:val="00AB5F69"/>
    <w:rsid w:val="00AC2A0C"/>
    <w:rsid w:val="00AC2FCF"/>
    <w:rsid w:val="00AC4AA8"/>
    <w:rsid w:val="00AC5745"/>
    <w:rsid w:val="00AD1DD9"/>
    <w:rsid w:val="00AD7FF8"/>
    <w:rsid w:val="00B068F9"/>
    <w:rsid w:val="00B30BDA"/>
    <w:rsid w:val="00B41141"/>
    <w:rsid w:val="00B41835"/>
    <w:rsid w:val="00B55859"/>
    <w:rsid w:val="00B565F0"/>
    <w:rsid w:val="00B63CF2"/>
    <w:rsid w:val="00B729E2"/>
    <w:rsid w:val="00B7716C"/>
    <w:rsid w:val="00B8358B"/>
    <w:rsid w:val="00B83E4B"/>
    <w:rsid w:val="00B92112"/>
    <w:rsid w:val="00B97ABB"/>
    <w:rsid w:val="00BA194B"/>
    <w:rsid w:val="00BA6956"/>
    <w:rsid w:val="00BA76F4"/>
    <w:rsid w:val="00BB0298"/>
    <w:rsid w:val="00BB715F"/>
    <w:rsid w:val="00BC57A5"/>
    <w:rsid w:val="00BD5AE7"/>
    <w:rsid w:val="00BF0CAC"/>
    <w:rsid w:val="00BF3496"/>
    <w:rsid w:val="00C013D1"/>
    <w:rsid w:val="00C01DD0"/>
    <w:rsid w:val="00C055C7"/>
    <w:rsid w:val="00C127D0"/>
    <w:rsid w:val="00C1645A"/>
    <w:rsid w:val="00C24033"/>
    <w:rsid w:val="00C30F85"/>
    <w:rsid w:val="00C373CA"/>
    <w:rsid w:val="00C45ADF"/>
    <w:rsid w:val="00C57D42"/>
    <w:rsid w:val="00C66069"/>
    <w:rsid w:val="00C7032F"/>
    <w:rsid w:val="00C746C4"/>
    <w:rsid w:val="00C87BFC"/>
    <w:rsid w:val="00CA2188"/>
    <w:rsid w:val="00CB1430"/>
    <w:rsid w:val="00CB5A35"/>
    <w:rsid w:val="00CD6595"/>
    <w:rsid w:val="00CE182D"/>
    <w:rsid w:val="00CF1260"/>
    <w:rsid w:val="00CF4EBA"/>
    <w:rsid w:val="00D04DD4"/>
    <w:rsid w:val="00D06613"/>
    <w:rsid w:val="00D21CFF"/>
    <w:rsid w:val="00D224CF"/>
    <w:rsid w:val="00D30369"/>
    <w:rsid w:val="00D55764"/>
    <w:rsid w:val="00D572DD"/>
    <w:rsid w:val="00D61EB0"/>
    <w:rsid w:val="00D67A3B"/>
    <w:rsid w:val="00D70EE5"/>
    <w:rsid w:val="00D90F98"/>
    <w:rsid w:val="00DA247B"/>
    <w:rsid w:val="00DA5D43"/>
    <w:rsid w:val="00DA6647"/>
    <w:rsid w:val="00DA6ED5"/>
    <w:rsid w:val="00DB25D7"/>
    <w:rsid w:val="00DC1163"/>
    <w:rsid w:val="00DE1EE9"/>
    <w:rsid w:val="00E03D4E"/>
    <w:rsid w:val="00E156A0"/>
    <w:rsid w:val="00E35E52"/>
    <w:rsid w:val="00E36D22"/>
    <w:rsid w:val="00E455CE"/>
    <w:rsid w:val="00E621E5"/>
    <w:rsid w:val="00E8042E"/>
    <w:rsid w:val="00E80E4C"/>
    <w:rsid w:val="00E83EA7"/>
    <w:rsid w:val="00E87BAC"/>
    <w:rsid w:val="00E93D1A"/>
    <w:rsid w:val="00EC273A"/>
    <w:rsid w:val="00EC594F"/>
    <w:rsid w:val="00ED3063"/>
    <w:rsid w:val="00ED4B26"/>
    <w:rsid w:val="00EF6073"/>
    <w:rsid w:val="00F0232F"/>
    <w:rsid w:val="00F11416"/>
    <w:rsid w:val="00F27AE9"/>
    <w:rsid w:val="00F34471"/>
    <w:rsid w:val="00F3658A"/>
    <w:rsid w:val="00F63F41"/>
    <w:rsid w:val="00F64366"/>
    <w:rsid w:val="00F66651"/>
    <w:rsid w:val="00F67D6C"/>
    <w:rsid w:val="00F9654A"/>
    <w:rsid w:val="00FA612F"/>
    <w:rsid w:val="00FA7965"/>
    <w:rsid w:val="00FD6E8D"/>
    <w:rsid w:val="00FE3DA4"/>
    <w:rsid w:val="00FE41AF"/>
    <w:rsid w:val="00FE7053"/>
    <w:rsid w:val="00FF63FE"/>
    <w:rsid w:val="00FF6E23"/>
    <w:rsid w:val="36161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20"/>
    <w:qFormat/>
    <w:uiPriority w:val="1"/>
    <w:pPr>
      <w:autoSpaceDE w:val="0"/>
      <w:autoSpaceDN w:val="0"/>
      <w:spacing w:before="26"/>
      <w:ind w:left="120"/>
      <w:jc w:val="left"/>
    </w:pPr>
    <w:rPr>
      <w:rFonts w:ascii="宋体" w:hAnsi="宋体" w:eastAsia="宋体" w:cs="宋体"/>
      <w:kern w:val="0"/>
      <w:sz w:val="19"/>
      <w:szCs w:val="19"/>
      <w:lang w:eastAsia="en-US"/>
    </w:rPr>
  </w:style>
  <w:style w:type="paragraph" w:styleId="3">
    <w:name w:val="Plain Text"/>
    <w:basedOn w:val="1"/>
    <w:link w:val="17"/>
    <w:uiPriority w:val="0"/>
    <w:rPr>
      <w:rFonts w:ascii="宋体" w:hAnsi="Courier New" w:eastAsia="宋体" w:cs="Courier New"/>
      <w:szCs w:val="21"/>
    </w:rPr>
  </w:style>
  <w:style w:type="paragraph" w:styleId="4">
    <w:name w:val="Balloon Text"/>
    <w:basedOn w:val="1"/>
    <w:link w:val="14"/>
    <w:semiHidden/>
    <w:unhideWhenUsed/>
    <w:uiPriority w:val="99"/>
    <w:rPr>
      <w:sz w:val="18"/>
      <w:szCs w:val="18"/>
    </w:rPr>
  </w:style>
  <w:style w:type="paragraph" w:styleId="5">
    <w:name w:val="footer"/>
    <w:basedOn w:val="1"/>
    <w:link w:val="16"/>
    <w:unhideWhenUsed/>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3"/>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HTML 预设格式 Char"/>
    <w:basedOn w:val="10"/>
    <w:link w:val="7"/>
    <w:semiHidden/>
    <w:qFormat/>
    <w:uiPriority w:val="99"/>
    <w:rPr>
      <w:rFonts w:ascii="宋体" w:hAnsi="宋体" w:eastAsia="宋体" w:cs="宋体"/>
      <w:kern w:val="0"/>
      <w:sz w:val="24"/>
      <w:szCs w:val="24"/>
    </w:rPr>
  </w:style>
  <w:style w:type="character" w:customStyle="1" w:styleId="14">
    <w:name w:val="批注框文本 Char"/>
    <w:basedOn w:val="10"/>
    <w:link w:val="4"/>
    <w:semiHidden/>
    <w:uiPriority w:val="99"/>
    <w:rPr>
      <w:sz w:val="18"/>
      <w:szCs w:val="18"/>
    </w:rPr>
  </w:style>
  <w:style w:type="character" w:customStyle="1" w:styleId="15">
    <w:name w:val="页眉 Char"/>
    <w:basedOn w:val="10"/>
    <w:link w:val="6"/>
    <w:qFormat/>
    <w:uiPriority w:val="99"/>
    <w:rPr>
      <w:sz w:val="18"/>
      <w:szCs w:val="18"/>
    </w:rPr>
  </w:style>
  <w:style w:type="character" w:customStyle="1" w:styleId="16">
    <w:name w:val="页脚 Char"/>
    <w:basedOn w:val="10"/>
    <w:link w:val="5"/>
    <w:uiPriority w:val="99"/>
    <w:rPr>
      <w:sz w:val="18"/>
      <w:szCs w:val="18"/>
    </w:rPr>
  </w:style>
  <w:style w:type="character" w:customStyle="1" w:styleId="17">
    <w:name w:val="纯文本 Char"/>
    <w:basedOn w:val="10"/>
    <w:link w:val="3"/>
    <w:uiPriority w:val="0"/>
    <w:rPr>
      <w:rFonts w:ascii="宋体" w:hAnsi="Courier New" w:eastAsia="宋体" w:cs="Courier New"/>
      <w:szCs w:val="21"/>
    </w:rPr>
  </w:style>
  <w:style w:type="paragraph" w:styleId="18">
    <w:name w:val="No Spacing"/>
    <w:link w:val="19"/>
    <w:qFormat/>
    <w:uiPriority w:val="1"/>
    <w:pPr>
      <w:jc w:val="both"/>
    </w:pPr>
    <w:rPr>
      <w:rFonts w:ascii="宋体" w:hAnsi="宋体" w:eastAsia="宋体" w:cs="Times New Roman"/>
      <w:kern w:val="0"/>
      <w:sz w:val="21"/>
      <w:szCs w:val="21"/>
      <w:lang w:val="en-US" w:eastAsia="en-US" w:bidi="en-US"/>
    </w:rPr>
  </w:style>
  <w:style w:type="character" w:customStyle="1" w:styleId="19">
    <w:name w:val="无间隔 Char"/>
    <w:basedOn w:val="10"/>
    <w:link w:val="18"/>
    <w:qFormat/>
    <w:uiPriority w:val="1"/>
    <w:rPr>
      <w:rFonts w:ascii="宋体" w:hAnsi="宋体" w:eastAsia="宋体" w:cs="Times New Roman"/>
      <w:kern w:val="0"/>
      <w:szCs w:val="21"/>
      <w:lang w:eastAsia="en-US" w:bidi="en-US"/>
    </w:rPr>
  </w:style>
  <w:style w:type="character" w:customStyle="1" w:styleId="20">
    <w:name w:val="正文文本 Char"/>
    <w:basedOn w:val="10"/>
    <w:link w:val="2"/>
    <w:uiPriority w:val="1"/>
    <w:rPr>
      <w:rFonts w:ascii="宋体" w:hAnsi="宋体" w:eastAsia="宋体" w:cs="宋体"/>
      <w:kern w:val="0"/>
      <w:sz w:val="19"/>
      <w:szCs w:val="19"/>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0F614E-EE5C-4B72-9FAE-603059FA9B95}">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322</Words>
  <Characters>1836</Characters>
  <Lines>15</Lines>
  <Paragraphs>4</Paragraphs>
  <TotalTime>40</TotalTime>
  <ScaleCrop>false</ScaleCrop>
  <LinksUpToDate>false</LinksUpToDate>
  <CharactersWithSpaces>2154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2015-12-16T03:29:00Z</dcterms:created>
  <dc:creator>huasha</dc:creator>
  <cp:lastModifiedBy>  </cp:lastModifiedBy>
  <cp:lastPrinted>2015-09-01T00:25:00Z</cp:lastPrinted>
  <dcterms:modified xsi:type="dcterms:W3CDTF">2021-08-30T02:01:48Z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B8FA0FED949548EBB52A2B600BB0AAD7</vt:lpwstr>
  </property>
</Properties>
</file>