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73C" w:rsidRPr="00A73BEB" w:rsidRDefault="00EF773C" w:rsidP="00EF773C">
      <w:pPr>
        <w:jc w:val="center"/>
        <w:rPr>
          <w:rFonts w:ascii="黑体" w:eastAsia="黑体" w:hAnsi="黑体"/>
          <w:sz w:val="32"/>
        </w:rPr>
      </w:pPr>
      <w:r w:rsidRPr="00A73BEB">
        <w:rPr>
          <w:rFonts w:ascii="黑体" w:eastAsia="黑体" w:hAnsi="黑体" w:hint="eastAsia"/>
          <w:sz w:val="32"/>
        </w:rPr>
        <w:t>教育部关于一流本科课程建设的实施意见</w:t>
      </w:r>
    </w:p>
    <w:p w:rsidR="00EF773C" w:rsidRPr="00EF773C" w:rsidRDefault="00EF773C" w:rsidP="00EF773C">
      <w:pPr>
        <w:widowControl/>
        <w:shd w:val="clear" w:color="auto" w:fill="FFFFFF"/>
        <w:spacing w:line="480" w:lineRule="atLeast"/>
        <w:jc w:val="right"/>
        <w:rPr>
          <w:rFonts w:ascii="微软雅黑" w:eastAsia="微软雅黑" w:hAnsi="微软雅黑" w:cs="宋体" w:hint="eastAsia"/>
          <w:kern w:val="0"/>
          <w:sz w:val="24"/>
          <w:szCs w:val="24"/>
        </w:rPr>
      </w:pPr>
      <w:bookmarkStart w:id="0" w:name="_GoBack"/>
      <w:r w:rsidRPr="00EF773C">
        <w:rPr>
          <w:rFonts w:ascii="微软雅黑" w:eastAsia="微软雅黑" w:hAnsi="微软雅黑" w:cs="宋体" w:hint="eastAsia"/>
          <w:kern w:val="0"/>
          <w:sz w:val="24"/>
          <w:szCs w:val="24"/>
        </w:rPr>
        <w:t>教高〔2019〕8号</w:t>
      </w:r>
      <w:bookmarkEnd w:id="0"/>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各省、自治区、直辖市教育厅（教委）,新疆生产建设兵团教育局,有关部门（单位）教育司（局），部属各高等学校、部省合建各高等学校：</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课程是人才培养的核心要素，课程质量直接决定人才培养质量。为贯彻落实习近平总书记关于教育的重要论述和全国教育大会精神，落实新时代全国高等学校本科教育工作会议要求，必须深化教育教学改革，必须把教学改革成果落实到课程建设上。现就一流本科课程建设提出如下实施意见。</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一、总体要求</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（一）指导思想</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以习近平新时代中国特色社会主义思想为指导，贯彻落实党的十九大精神，落实立德树人根本任务，把立德树人成效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（二）总体目标</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（三）基本原则</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——坚持分类建设。依据高校办学定位和人才培养目标定位，建设适应创新型、复合型、应用型人才培养需要的一流本科课程，实现不同类型高校一流本科课程建设全覆盖。</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lastRenderedPageBreak/>
        <w:t xml:space="preserve">　　——坚持扶强扶特。着力引导“双一流”建设高校、部省合建高校发挥引领示范作用，重点打造一批高水平课程，为卓越拔尖人才培养提供有力支撑。重点支持已有建设基础、取得明显教学成效的课程，让优的更优、强的更强。重视特色课程建设，实现一流本科课程多样化。</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提升高阶性。课程目标坚持知识、能力、素质有机融合，培养学生解决复杂问题的综合能力和高级思维。课程内容强调广度和深度，突破习惯性认知模式，培养学生深度分析、大胆质疑、勇于创新的精神和能力。</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增加挑战度。课程设计增加研究性、创新性、综合性内容，加大学生学习投入，科学“增负”，让学生体验“跳一跳才能够得着”的学习挑战。严格考核考试评价，增强学生经过刻苦学习收获能力和素质提高的成就感。</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二、建设内容</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一）转变观念，理念新起来。以新理念引领一流本科课程建设。牢固树立“三个不合格”理念，竖起“高压线”，不抓本科教育的高校不是合格的高校，不重视本科教育的书记校长不是合格的书记校长，不参与本科教学的教授不是合格的教授。推动课程思政的理念形成广泛共识，构建全员全程全方位育人大格局。确立学生中心、产出导向、持续改进的理念，提升课程的高阶性，突出课程的创新性，增加课程的挑战度。</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目标导向，课程优起来。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w:t>
      </w:r>
      <w:r w:rsidRPr="00EF773C">
        <w:rPr>
          <w:rFonts w:asciiTheme="minorEastAsia" w:hAnsiTheme="minorEastAsia" w:cs="宋体" w:hint="eastAsia"/>
          <w:kern w:val="0"/>
          <w:sz w:val="24"/>
          <w:szCs w:val="24"/>
        </w:rPr>
        <w:lastRenderedPageBreak/>
        <w:t>复合型人才的一流本科课程。服务区域经济社会发展主战场，深化产教融合协同育人，建设一批培养应用型人才的一流本科课程。</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学习全覆盖，推动教师培训常态化，将培训学分作为教师资格定期注册、教师考核的必备条件。</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四）改革方法，课堂活起来。以提升教学效果为目的创新教学方法。强化课堂设计，解决好怎么讲好课的问题，杜绝单纯知识传递、忽视能力素质培养的现象。强化现代信息技术与教育教学深度融合，解决好教与学模式创新的问题，杜绝信息技术应用的简单化、形式化。强化师生互动、生生互动，解决好创新性、批判性思维培养的问题，杜绝教师满堂灌、学生被动听的现象。</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五）科学评价，学生忙起来。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六）强化管理，制度严起来。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七）政策激励，教学热起来。以教学贡献为核心内容制定激励政策。加大课程建设的支持力度，加大优秀课程和教师的奖励力度，加大教学业绩在专业技术职务评聘中的权重，营造重视本科课程改革与建设的良好氛围。</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lastRenderedPageBreak/>
        <w:t xml:space="preserve">　　</w:t>
      </w:r>
      <w:r w:rsidRPr="00EF773C">
        <w:rPr>
          <w:rFonts w:asciiTheme="minorEastAsia" w:hAnsiTheme="minorEastAsia" w:cs="宋体" w:hint="eastAsia"/>
          <w:b/>
          <w:bCs/>
          <w:kern w:val="0"/>
          <w:sz w:val="24"/>
          <w:szCs w:val="24"/>
          <w:bdr w:val="none" w:sz="0" w:space="0" w:color="auto" w:frame="1"/>
        </w:rPr>
        <w:t>三、实施一流本科课程双万计划</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一）认定万门左右国家级一流本科课程。注重创新型、复合型、应用型人才培养课程建设的创新性、示范引领性和推广性，在高校培育建设基础上，从2019年到2021年，完成4000门左右国家级线上一流课程（国家精品在线开放课程）、4000门左右国家级线下一流课程、6000门左右国家级线上线下混合式一流课程、1500门左右国家虚拟仿真实验教学一流课程、1000门左右国家级社会实践一流课程认定工作，具体推荐认定办法见附件。</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因校制宜、因课制宜建设省级一流本科课程，并报我部备案。</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四、组织管理</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（一）教育部负责统筹指导一流本科课程建设工作，组织有关专家和机构研究制定一流本科课程建设、应用与管理的相关标准规范。公布国家级一流本科课程推荐认定结果。</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（四）高等学校教学指导委员会要加强课程建设理论研究和分类指导，组织制订相关专业一流本科课程建设指南，引导高校汇聚优秀教师联合建设课程群，共享优质课程资源。</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 </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lastRenderedPageBreak/>
        <w:t xml:space="preserve">　　（六）中央部门所属高校统筹利用“中央高校教育教学改革专项”等各类资源支持一流本科课程建设。地方高校统筹地方财政高等教育资金和中央支持地方高校改革发展资金支持一流本科课程建设。</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附件：“双万计划”国家级一流本科课程推荐认定办法</w:t>
      </w:r>
    </w:p>
    <w:p w:rsidR="00EF773C" w:rsidRPr="00EF773C" w:rsidRDefault="00EF773C" w:rsidP="00BE4BEE">
      <w:pPr>
        <w:widowControl/>
        <w:shd w:val="clear" w:color="auto" w:fill="FFFFFF"/>
        <w:spacing w:line="480" w:lineRule="atLeast"/>
        <w:ind w:firstLineChars="2550" w:firstLine="6120"/>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教育部</w:t>
      </w:r>
    </w:p>
    <w:p w:rsidR="00EF773C" w:rsidRPr="00EF773C" w:rsidRDefault="00EF773C" w:rsidP="00BE4BEE">
      <w:pPr>
        <w:widowControl/>
        <w:shd w:val="clear" w:color="auto" w:fill="FFFFFF"/>
        <w:spacing w:line="480" w:lineRule="atLeast"/>
        <w:ind w:firstLineChars="2350" w:firstLine="5640"/>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2019年10月24日</w:t>
      </w: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BE4BEE" w:rsidRPr="00A73BEB" w:rsidRDefault="00BE4BEE" w:rsidP="00BE4BEE">
      <w:pPr>
        <w:widowControl/>
        <w:shd w:val="clear" w:color="auto" w:fill="FFFFFF"/>
        <w:spacing w:line="480" w:lineRule="atLeast"/>
        <w:rPr>
          <w:rFonts w:asciiTheme="minorEastAsia" w:hAnsiTheme="minorEastAsia" w:cs="宋体"/>
          <w:b/>
          <w:bCs/>
          <w:kern w:val="0"/>
          <w:sz w:val="24"/>
          <w:szCs w:val="24"/>
          <w:bdr w:val="none" w:sz="0" w:space="0" w:color="auto" w:frame="1"/>
        </w:rPr>
      </w:pP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b/>
          <w:bCs/>
          <w:kern w:val="0"/>
          <w:sz w:val="24"/>
          <w:szCs w:val="24"/>
          <w:bdr w:val="none" w:sz="0" w:space="0" w:color="auto" w:frame="1"/>
        </w:rPr>
        <w:lastRenderedPageBreak/>
        <w:t>附件</w:t>
      </w:r>
    </w:p>
    <w:p w:rsidR="00EF773C" w:rsidRPr="00EF773C" w:rsidRDefault="00EF773C" w:rsidP="00BE4BEE">
      <w:pPr>
        <w:widowControl/>
        <w:shd w:val="clear" w:color="auto" w:fill="FFFFFF"/>
        <w:spacing w:line="480" w:lineRule="atLeast"/>
        <w:jc w:val="center"/>
        <w:rPr>
          <w:rFonts w:asciiTheme="minorEastAsia" w:hAnsiTheme="minorEastAsia" w:cs="宋体" w:hint="eastAsia"/>
          <w:kern w:val="0"/>
          <w:sz w:val="24"/>
          <w:szCs w:val="24"/>
        </w:rPr>
      </w:pPr>
      <w:r w:rsidRPr="00EF773C">
        <w:rPr>
          <w:rFonts w:asciiTheme="minorEastAsia" w:hAnsiTheme="minorEastAsia" w:cs="宋体" w:hint="eastAsia"/>
          <w:b/>
          <w:bCs/>
          <w:kern w:val="0"/>
          <w:sz w:val="24"/>
          <w:szCs w:val="24"/>
          <w:bdr w:val="none" w:sz="0" w:space="0" w:color="auto" w:frame="1"/>
        </w:rPr>
        <w:t>“双万计划”国家级一流本科课程推荐认定办法</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一、推荐范围</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普通本科高校纳入人才培养方案且设置学分的本科课程均可推荐，包括思想政治理论课、公共基础课、专业基础课、专业课以及通识课等独立设置的本科理论课程、实验课程和社会实践课程等。</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二、推荐类型与计划</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一）线上一流课程。即国家精品在线开放课程，突出优质、开放、共享，打造中国慕课品牌。完成4000门左右国家精品在线开放课程认定，构建内容更加丰富、结构更加合理、类别更加全面的国家级精品慕课体系。</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线下一流课程。主要指以面授为主的课程，以提升学生综合能力为重点，重塑课程内容，创新教学方法，打破课堂沉默状态，焕发课堂生机活力，较好发挥课堂教学主阵地、主渠道、主战场作用。认定4000门左右国家级线下一流课程。</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三）线上线下混合式一流课程。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四）虚拟仿真实验教学一流课程。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w:t>
      </w:r>
      <w:r w:rsidRPr="00EF773C">
        <w:rPr>
          <w:rFonts w:asciiTheme="minorEastAsia" w:hAnsiTheme="minorEastAsia" w:cs="宋体" w:hint="eastAsia"/>
          <w:kern w:val="0"/>
          <w:sz w:val="24"/>
          <w:szCs w:val="24"/>
        </w:rPr>
        <w:lastRenderedPageBreak/>
        <w:t>的实践基地，学生70%以上学时深入基层，保证课程规范化和可持续发展。认定1000门左右国家级社会实践一流课程。</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三、推荐条件</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（一）教学理念先进。坚持立德树人，体现以学生发展为中心，致力于开启学生内在潜力和学习动力，注重学生德智体美劳全面发展。</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（三）课程目标有效支撑培养目标达成。课程目标符合学校办学定位和人才培养目标，注重知识、能力、素质培养。</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（四）课程教学设计科学合理。围绕目标达成、教学内容、组织实施和多元评价需求进行整体规划，教学策略、教学方法、教学过程、教学评价等设计合理。</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（六）教学组织与实施突出学生中心地位。根据学生认知规律和接受特点，创新教与学模式，因材施教，促进师生之间、学生之间的交流互动、资源共享、知识生成，教学反馈及时，教学效果显著。</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（七）课程管理与评价科学且可测量。教师备课要求明确，学生学习管理严格。针对教学目标、教学内容、教学组织等采用多元化考核评价，过程可回溯，诊断改进积极有效。教学过程材料完整，可借鉴可监督。</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四、推荐方式</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除线上一流课程、虚拟仿真实验教学一流课程继续按有关文件实施外，线下一流课程、线上线下混合式一流课程和社会实践一流课程采用以下推荐方式。</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lastRenderedPageBreak/>
        <w:t xml:space="preserve">　　（一）推荐总额</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教育部按照国家级线下一流课程、线上线下混合式一流课程和社会实践一流课程三年计划总数确定推荐总额，分别下达至中央部门所属高校和各省级教育行政部门。</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（二）分赛道推荐</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按照中央部门所属高校、地方高校的办学定位和培养目标特点分赛道推荐，名额分列。部省合建高校推荐课程纳入中央部门所属高校赛道。</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（三）推荐方式</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（四）推荐材料要求</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课程团队须提交申报书、时长10分钟内的说课视频（包括教学理念、课程设计、课程实施、改革成效等）和其他佐证材料。</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五、认定方式</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w:t>
      </w:r>
      <w:r w:rsidRPr="00EF773C">
        <w:rPr>
          <w:rFonts w:asciiTheme="minorEastAsia" w:hAnsiTheme="minorEastAsia" w:cs="宋体" w:hint="eastAsia"/>
          <w:b/>
          <w:bCs/>
          <w:kern w:val="0"/>
          <w:sz w:val="24"/>
          <w:szCs w:val="24"/>
          <w:bdr w:val="none" w:sz="0" w:space="0" w:color="auto" w:frame="1"/>
        </w:rPr>
        <w:t>六、认定课程管理</w:t>
      </w:r>
    </w:p>
    <w:p w:rsidR="00EF773C" w:rsidRPr="00EF773C" w:rsidRDefault="00EF773C" w:rsidP="00BE4BEE">
      <w:pPr>
        <w:widowControl/>
        <w:shd w:val="clear" w:color="auto" w:fill="FFFFFF"/>
        <w:spacing w:line="480" w:lineRule="atLeast"/>
        <w:rPr>
          <w:rFonts w:asciiTheme="minorEastAsia" w:hAnsiTheme="minorEastAsia" w:cs="宋体" w:hint="eastAsia"/>
          <w:kern w:val="0"/>
          <w:sz w:val="24"/>
          <w:szCs w:val="24"/>
        </w:rPr>
      </w:pPr>
      <w:r w:rsidRPr="00EF773C">
        <w:rPr>
          <w:rFonts w:asciiTheme="minorEastAsia" w:hAnsiTheme="minorEastAsia" w:cs="宋体" w:hint="eastAsia"/>
          <w:kern w:val="0"/>
          <w:sz w:val="24"/>
          <w:szCs w:val="24"/>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rsidR="00547B76" w:rsidRPr="00A73BEB" w:rsidRDefault="00611A27" w:rsidP="00BE4BEE">
      <w:pPr>
        <w:rPr>
          <w:rFonts w:asciiTheme="minorEastAsia" w:hAnsiTheme="minorEastAsia"/>
          <w:sz w:val="24"/>
          <w:szCs w:val="24"/>
        </w:rPr>
      </w:pPr>
    </w:p>
    <w:sectPr w:rsidR="00547B76" w:rsidRPr="00A73B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A27" w:rsidRDefault="00611A27" w:rsidP="00EF773C">
      <w:r>
        <w:separator/>
      </w:r>
    </w:p>
  </w:endnote>
  <w:endnote w:type="continuationSeparator" w:id="0">
    <w:p w:rsidR="00611A27" w:rsidRDefault="00611A27" w:rsidP="00EF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A27" w:rsidRDefault="00611A27" w:rsidP="00EF773C">
      <w:r>
        <w:separator/>
      </w:r>
    </w:p>
  </w:footnote>
  <w:footnote w:type="continuationSeparator" w:id="0">
    <w:p w:rsidR="00611A27" w:rsidRDefault="00611A27" w:rsidP="00EF77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6D8"/>
    <w:rsid w:val="001716D8"/>
    <w:rsid w:val="00611A27"/>
    <w:rsid w:val="007257CE"/>
    <w:rsid w:val="0093402C"/>
    <w:rsid w:val="00A73BEB"/>
    <w:rsid w:val="00BE4BEE"/>
    <w:rsid w:val="00EF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D6E0C8-2134-4AF4-ADFD-A59EC43E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EF773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77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773C"/>
    <w:rPr>
      <w:sz w:val="18"/>
      <w:szCs w:val="18"/>
    </w:rPr>
  </w:style>
  <w:style w:type="paragraph" w:styleId="a4">
    <w:name w:val="footer"/>
    <w:basedOn w:val="a"/>
    <w:link w:val="Char0"/>
    <w:uiPriority w:val="99"/>
    <w:unhideWhenUsed/>
    <w:rsid w:val="00EF773C"/>
    <w:pPr>
      <w:tabs>
        <w:tab w:val="center" w:pos="4153"/>
        <w:tab w:val="right" w:pos="8306"/>
      </w:tabs>
      <w:snapToGrid w:val="0"/>
      <w:jc w:val="left"/>
    </w:pPr>
    <w:rPr>
      <w:sz w:val="18"/>
      <w:szCs w:val="18"/>
    </w:rPr>
  </w:style>
  <w:style w:type="character" w:customStyle="1" w:styleId="Char0">
    <w:name w:val="页脚 Char"/>
    <w:basedOn w:val="a0"/>
    <w:link w:val="a4"/>
    <w:uiPriority w:val="99"/>
    <w:rsid w:val="00EF773C"/>
    <w:rPr>
      <w:sz w:val="18"/>
      <w:szCs w:val="18"/>
    </w:rPr>
  </w:style>
  <w:style w:type="character" w:customStyle="1" w:styleId="1Char">
    <w:name w:val="标题 1 Char"/>
    <w:basedOn w:val="a0"/>
    <w:link w:val="1"/>
    <w:uiPriority w:val="9"/>
    <w:rsid w:val="00EF773C"/>
    <w:rPr>
      <w:rFonts w:ascii="宋体" w:eastAsia="宋体" w:hAnsi="宋体" w:cs="宋体"/>
      <w:b/>
      <w:bCs/>
      <w:kern w:val="36"/>
      <w:sz w:val="48"/>
      <w:szCs w:val="48"/>
    </w:rPr>
  </w:style>
  <w:style w:type="paragraph" w:styleId="a5">
    <w:name w:val="Normal (Web)"/>
    <w:basedOn w:val="a"/>
    <w:uiPriority w:val="99"/>
    <w:semiHidden/>
    <w:unhideWhenUsed/>
    <w:rsid w:val="00EF773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065018">
      <w:bodyDiv w:val="1"/>
      <w:marLeft w:val="0"/>
      <w:marRight w:val="0"/>
      <w:marTop w:val="0"/>
      <w:marBottom w:val="0"/>
      <w:divBdr>
        <w:top w:val="none" w:sz="0" w:space="0" w:color="auto"/>
        <w:left w:val="none" w:sz="0" w:space="0" w:color="auto"/>
        <w:bottom w:val="none" w:sz="0" w:space="0" w:color="auto"/>
        <w:right w:val="none" w:sz="0" w:space="0" w:color="auto"/>
      </w:divBdr>
      <w:divsChild>
        <w:div w:id="1009870716">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876</Words>
  <Characters>4994</Characters>
  <Application>Microsoft Office Word</Application>
  <DocSecurity>0</DocSecurity>
  <Lines>41</Lines>
  <Paragraphs>11</Paragraphs>
  <ScaleCrop>false</ScaleCrop>
  <Company>Microsoft</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2019-11-29T01:53:00Z</dcterms:created>
  <dcterms:modified xsi:type="dcterms:W3CDTF">2019-11-29T03:08:00Z</dcterms:modified>
</cp:coreProperties>
</file>